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2EC5" w:rsidRPr="00B12EC5" w:rsidRDefault="00B12EC5" w:rsidP="00B12EC5">
      <w:pPr>
        <w:shd w:val="clear" w:color="auto" w:fill="FFFFFF"/>
        <w:spacing w:before="525" w:after="300" w:line="240" w:lineRule="auto"/>
        <w:outlineLvl w:val="1"/>
        <w:rPr>
          <w:rFonts w:ascii="Merriweather" w:eastAsia="Times New Roman" w:hAnsi="Merriweather" w:cs="Times New Roman"/>
          <w:b/>
          <w:bCs/>
          <w:color w:val="000000"/>
          <w:sz w:val="39"/>
          <w:szCs w:val="39"/>
          <w:lang w:eastAsia="fr-FR"/>
        </w:rPr>
      </w:pPr>
      <w:r w:rsidRPr="00B12EC5">
        <w:rPr>
          <w:rFonts w:ascii="Merriweather" w:eastAsia="Times New Roman" w:hAnsi="Merriweather" w:cs="Times New Roman"/>
          <w:b/>
          <w:bCs/>
          <w:color w:val="000000"/>
          <w:sz w:val="39"/>
          <w:szCs w:val="39"/>
          <w:lang w:eastAsia="fr-FR"/>
        </w:rPr>
        <w:t>PEE : quelles sont les entreprises concernées ?</w:t>
      </w:r>
    </w:p>
    <w:p w:rsidR="00B12EC5" w:rsidRPr="00B12EC5" w:rsidRDefault="00B12EC5" w:rsidP="00B12EC5">
      <w:pPr>
        <w:shd w:val="clear" w:color="auto" w:fill="FFFFFF"/>
        <w:spacing w:after="225" w:line="240" w:lineRule="auto"/>
        <w:rPr>
          <w:rFonts w:ascii="Lato" w:eastAsia="Times New Roman" w:hAnsi="Lato" w:cs="Times New Roman"/>
          <w:color w:val="000000"/>
          <w:sz w:val="30"/>
          <w:szCs w:val="30"/>
          <w:lang w:eastAsia="fr-FR"/>
        </w:rPr>
      </w:pPr>
      <w:r w:rsidRPr="00B12EC5">
        <w:rPr>
          <w:rFonts w:ascii="Lato" w:eastAsia="Times New Roman" w:hAnsi="Lato" w:cs="Times New Roman"/>
          <w:b/>
          <w:bCs/>
          <w:color w:val="000000"/>
          <w:sz w:val="30"/>
          <w:szCs w:val="30"/>
          <w:lang w:eastAsia="fr-FR"/>
        </w:rPr>
        <w:t>Le plan d’épargne entreprise</w:t>
      </w:r>
      <w:r w:rsidRPr="00B12EC5">
        <w:rPr>
          <w:rFonts w:ascii="Lato" w:eastAsia="Times New Roman" w:hAnsi="Lato" w:cs="Times New Roman"/>
          <w:color w:val="000000"/>
          <w:sz w:val="30"/>
          <w:szCs w:val="30"/>
          <w:lang w:eastAsia="fr-FR"/>
        </w:rPr>
        <w:t> est ouvert à toutes les entreprises privées et certaines entreprises publiques.</w:t>
      </w:r>
    </w:p>
    <w:p w:rsidR="00B12EC5" w:rsidRPr="00B12EC5" w:rsidRDefault="00B12EC5" w:rsidP="00B12EC5">
      <w:pPr>
        <w:shd w:val="clear" w:color="auto" w:fill="FFFFFF"/>
        <w:spacing w:before="525" w:after="300" w:line="240" w:lineRule="auto"/>
        <w:outlineLvl w:val="2"/>
        <w:rPr>
          <w:rFonts w:ascii="Merriweather" w:eastAsia="Times New Roman" w:hAnsi="Merriweather" w:cs="Times New Roman"/>
          <w:b/>
          <w:bCs/>
          <w:color w:val="000000"/>
          <w:sz w:val="30"/>
          <w:szCs w:val="30"/>
          <w:lang w:eastAsia="fr-FR"/>
        </w:rPr>
      </w:pPr>
      <w:r w:rsidRPr="00B12EC5">
        <w:rPr>
          <w:rFonts w:ascii="Merriweather" w:eastAsia="Times New Roman" w:hAnsi="Merriweather" w:cs="Times New Roman"/>
          <w:b/>
          <w:bCs/>
          <w:color w:val="000000"/>
          <w:sz w:val="30"/>
          <w:szCs w:val="30"/>
          <w:lang w:eastAsia="fr-FR"/>
        </w:rPr>
        <w:t>Plan d’épargne entreprise et forme d’entreprise</w:t>
      </w:r>
    </w:p>
    <w:p w:rsidR="00B12EC5" w:rsidRPr="00B12EC5" w:rsidRDefault="00B12EC5" w:rsidP="00B12EC5">
      <w:pPr>
        <w:shd w:val="clear" w:color="auto" w:fill="FFFFFF"/>
        <w:spacing w:after="225" w:line="240" w:lineRule="auto"/>
        <w:rPr>
          <w:rFonts w:ascii="Lato" w:eastAsia="Times New Roman" w:hAnsi="Lato" w:cs="Times New Roman"/>
          <w:color w:val="000000"/>
          <w:sz w:val="30"/>
          <w:szCs w:val="30"/>
          <w:lang w:eastAsia="fr-FR"/>
        </w:rPr>
      </w:pPr>
      <w:r w:rsidRPr="00B12EC5">
        <w:rPr>
          <w:rFonts w:ascii="Lato" w:eastAsia="Times New Roman" w:hAnsi="Lato" w:cs="Times New Roman"/>
          <w:b/>
          <w:bCs/>
          <w:color w:val="000000"/>
          <w:sz w:val="30"/>
          <w:szCs w:val="30"/>
          <w:lang w:eastAsia="fr-FR"/>
        </w:rPr>
        <w:t>Le plan d'épargne entreprise</w:t>
      </w:r>
      <w:r w:rsidRPr="00B12EC5">
        <w:rPr>
          <w:rFonts w:ascii="Lato" w:eastAsia="Times New Roman" w:hAnsi="Lato" w:cs="Times New Roman"/>
          <w:color w:val="000000"/>
          <w:sz w:val="30"/>
          <w:szCs w:val="30"/>
          <w:lang w:eastAsia="fr-FR"/>
        </w:rPr>
        <w:t> (PEE) peut être mis en place dans toute entreprise quelle que soit sa forme juridique (société, entreprise individuelle, exploitation agricole, professions libérales, associations…) ou son activité. Le plan s’adresse aux salariés des entreprises relevant du droit français, situées en France métropolitaine et dans les départements d'outre-mer.</w:t>
      </w:r>
    </w:p>
    <w:p w:rsidR="00B12EC5" w:rsidRPr="00B12EC5" w:rsidRDefault="00B12EC5" w:rsidP="00B12EC5">
      <w:pPr>
        <w:shd w:val="clear" w:color="auto" w:fill="FFFFFF"/>
        <w:spacing w:before="525" w:after="300" w:line="240" w:lineRule="auto"/>
        <w:outlineLvl w:val="2"/>
        <w:rPr>
          <w:rFonts w:ascii="Merriweather" w:eastAsia="Times New Roman" w:hAnsi="Merriweather" w:cs="Times New Roman"/>
          <w:b/>
          <w:bCs/>
          <w:color w:val="000000"/>
          <w:sz w:val="30"/>
          <w:szCs w:val="30"/>
          <w:lang w:eastAsia="fr-FR"/>
        </w:rPr>
      </w:pPr>
      <w:r w:rsidRPr="00B12EC5">
        <w:rPr>
          <w:rFonts w:ascii="Merriweather" w:eastAsia="Times New Roman" w:hAnsi="Merriweather" w:cs="Times New Roman"/>
          <w:b/>
          <w:bCs/>
          <w:color w:val="000000"/>
          <w:sz w:val="30"/>
          <w:szCs w:val="30"/>
          <w:lang w:eastAsia="fr-FR"/>
        </w:rPr>
        <w:t>Plan d’épargne entreprise et fonction publique</w:t>
      </w:r>
    </w:p>
    <w:p w:rsidR="00B12EC5" w:rsidRPr="00B12EC5" w:rsidRDefault="00B12EC5" w:rsidP="00B12EC5">
      <w:pPr>
        <w:shd w:val="clear" w:color="auto" w:fill="FFFFFF"/>
        <w:spacing w:after="225" w:line="240" w:lineRule="auto"/>
        <w:rPr>
          <w:rFonts w:ascii="Lato" w:eastAsia="Times New Roman" w:hAnsi="Lato" w:cs="Times New Roman"/>
          <w:color w:val="000000"/>
          <w:sz w:val="30"/>
          <w:szCs w:val="30"/>
          <w:lang w:eastAsia="fr-FR"/>
        </w:rPr>
      </w:pPr>
      <w:r w:rsidRPr="00B12EC5">
        <w:rPr>
          <w:rFonts w:ascii="Lato" w:eastAsia="Times New Roman" w:hAnsi="Lato" w:cs="Times New Roman"/>
          <w:b/>
          <w:bCs/>
          <w:color w:val="000000"/>
          <w:sz w:val="30"/>
          <w:szCs w:val="30"/>
          <w:lang w:eastAsia="fr-FR"/>
        </w:rPr>
        <w:t>Les PEE</w:t>
      </w:r>
      <w:r w:rsidRPr="00B12EC5">
        <w:rPr>
          <w:rFonts w:ascii="Lato" w:eastAsia="Times New Roman" w:hAnsi="Lato" w:cs="Times New Roman"/>
          <w:color w:val="000000"/>
          <w:sz w:val="30"/>
          <w:szCs w:val="30"/>
          <w:lang w:eastAsia="fr-FR"/>
        </w:rPr>
        <w:t> ne sont pas ouverts aux fonctionnaires de l’État, des collectivités territoriales, des établissements publics hospitaliers et des établissements publics administratifs.</w:t>
      </w:r>
    </w:p>
    <w:p w:rsidR="00B12EC5" w:rsidRPr="00B12EC5" w:rsidRDefault="00B12EC5" w:rsidP="00B12EC5">
      <w:pPr>
        <w:shd w:val="clear" w:color="auto" w:fill="FFFFFF"/>
        <w:spacing w:after="225" w:line="240" w:lineRule="auto"/>
        <w:rPr>
          <w:rFonts w:ascii="Lato" w:eastAsia="Times New Roman" w:hAnsi="Lato" w:cs="Times New Roman"/>
          <w:color w:val="000000"/>
          <w:sz w:val="30"/>
          <w:szCs w:val="30"/>
          <w:lang w:eastAsia="fr-FR"/>
        </w:rPr>
      </w:pPr>
      <w:r w:rsidRPr="00B12EC5">
        <w:rPr>
          <w:rFonts w:ascii="Lato" w:eastAsia="Times New Roman" w:hAnsi="Lato" w:cs="Times New Roman"/>
          <w:color w:val="000000"/>
          <w:sz w:val="30"/>
          <w:szCs w:val="30"/>
          <w:lang w:eastAsia="fr-FR"/>
        </w:rPr>
        <w:t>En revanche, l</w:t>
      </w:r>
      <w:r w:rsidRPr="00B12EC5">
        <w:rPr>
          <w:rFonts w:ascii="Lato" w:eastAsia="Times New Roman" w:hAnsi="Lato" w:cs="Times New Roman"/>
          <w:b/>
          <w:bCs/>
          <w:color w:val="000000"/>
          <w:sz w:val="30"/>
          <w:szCs w:val="30"/>
          <w:lang w:eastAsia="fr-FR"/>
        </w:rPr>
        <w:t>es établissements publics industriels et commerciaux </w:t>
      </w:r>
      <w:r w:rsidRPr="00B12EC5">
        <w:rPr>
          <w:rFonts w:ascii="Lato" w:eastAsia="Times New Roman" w:hAnsi="Lato" w:cs="Times New Roman"/>
          <w:color w:val="000000"/>
          <w:sz w:val="30"/>
          <w:szCs w:val="30"/>
          <w:lang w:eastAsia="fr-FR"/>
        </w:rPr>
        <w:t>(Epic) peuvent instaurer un PEE.</w:t>
      </w:r>
    </w:p>
    <w:p w:rsidR="00B12EC5" w:rsidRPr="00B12EC5" w:rsidRDefault="00B12EC5" w:rsidP="00B12EC5">
      <w:pPr>
        <w:shd w:val="clear" w:color="auto" w:fill="FFFFFF"/>
        <w:spacing w:before="525" w:after="300" w:line="240" w:lineRule="auto"/>
        <w:outlineLvl w:val="1"/>
        <w:rPr>
          <w:rFonts w:ascii="Merriweather" w:eastAsia="Times New Roman" w:hAnsi="Merriweather" w:cs="Times New Roman"/>
          <w:b/>
          <w:bCs/>
          <w:color w:val="000000"/>
          <w:sz w:val="39"/>
          <w:szCs w:val="39"/>
          <w:lang w:eastAsia="fr-FR"/>
        </w:rPr>
      </w:pPr>
      <w:r w:rsidRPr="00B12EC5">
        <w:rPr>
          <w:rFonts w:ascii="Merriweather" w:eastAsia="Times New Roman" w:hAnsi="Merriweather" w:cs="Times New Roman"/>
          <w:b/>
          <w:bCs/>
          <w:color w:val="000000"/>
          <w:sz w:val="39"/>
          <w:szCs w:val="39"/>
          <w:lang w:eastAsia="fr-FR"/>
        </w:rPr>
        <w:t>Mise en place d’un PEE</w:t>
      </w:r>
    </w:p>
    <w:p w:rsidR="00B12EC5" w:rsidRPr="00B12EC5" w:rsidRDefault="00B12EC5" w:rsidP="00B12EC5">
      <w:pPr>
        <w:shd w:val="clear" w:color="auto" w:fill="FFFFFF"/>
        <w:spacing w:after="225" w:line="240" w:lineRule="auto"/>
        <w:rPr>
          <w:rFonts w:ascii="Lato" w:eastAsia="Times New Roman" w:hAnsi="Lato" w:cs="Times New Roman"/>
          <w:color w:val="000000"/>
          <w:sz w:val="30"/>
          <w:szCs w:val="30"/>
          <w:lang w:eastAsia="fr-FR"/>
        </w:rPr>
      </w:pPr>
      <w:r w:rsidRPr="00B12EC5">
        <w:rPr>
          <w:rFonts w:ascii="Lato" w:eastAsia="Times New Roman" w:hAnsi="Lato" w:cs="Times New Roman"/>
          <w:b/>
          <w:bCs/>
          <w:color w:val="000000"/>
          <w:sz w:val="30"/>
          <w:szCs w:val="30"/>
          <w:lang w:eastAsia="fr-FR"/>
        </w:rPr>
        <w:t>Le plan d'épargne entreprise</w:t>
      </w:r>
      <w:r w:rsidRPr="00B12EC5">
        <w:rPr>
          <w:rFonts w:ascii="Lato" w:eastAsia="Times New Roman" w:hAnsi="Lato" w:cs="Times New Roman"/>
          <w:color w:val="000000"/>
          <w:sz w:val="30"/>
          <w:szCs w:val="30"/>
          <w:lang w:eastAsia="fr-FR"/>
        </w:rPr>
        <w:t> peut être mis en place par un accord au sein de l'entreprise selon des modalités spécifiques :</w:t>
      </w:r>
    </w:p>
    <w:p w:rsidR="00B12EC5" w:rsidRPr="00B12EC5" w:rsidRDefault="00B12EC5" w:rsidP="00B12EC5">
      <w:pPr>
        <w:numPr>
          <w:ilvl w:val="0"/>
          <w:numId w:val="1"/>
        </w:numPr>
        <w:shd w:val="clear" w:color="auto" w:fill="FFFFFF"/>
        <w:spacing w:before="100" w:beforeAutospacing="1" w:after="150" w:line="240" w:lineRule="auto"/>
        <w:rPr>
          <w:rFonts w:ascii="Lato" w:eastAsia="Times New Roman" w:hAnsi="Lato" w:cs="Times New Roman"/>
          <w:color w:val="000000"/>
          <w:sz w:val="30"/>
          <w:szCs w:val="30"/>
          <w:lang w:eastAsia="fr-FR"/>
        </w:rPr>
      </w:pPr>
      <w:r w:rsidRPr="00B12EC5">
        <w:rPr>
          <w:rFonts w:ascii="Lato" w:eastAsia="Times New Roman" w:hAnsi="Lato" w:cs="Times New Roman"/>
          <w:color w:val="000000"/>
          <w:sz w:val="30"/>
          <w:szCs w:val="30"/>
          <w:lang w:eastAsia="fr-FR"/>
        </w:rPr>
        <w:t>Entre le chef d'entreprise et les représentants d'organisations syndicales</w:t>
      </w:r>
    </w:p>
    <w:p w:rsidR="00B12EC5" w:rsidRPr="00B12EC5" w:rsidRDefault="00B12EC5" w:rsidP="00B12EC5">
      <w:pPr>
        <w:numPr>
          <w:ilvl w:val="0"/>
          <w:numId w:val="1"/>
        </w:numPr>
        <w:shd w:val="clear" w:color="auto" w:fill="FFFFFF"/>
        <w:spacing w:before="100" w:beforeAutospacing="1" w:after="150" w:line="240" w:lineRule="auto"/>
        <w:rPr>
          <w:rFonts w:ascii="Lato" w:eastAsia="Times New Roman" w:hAnsi="Lato" w:cs="Times New Roman"/>
          <w:color w:val="000000"/>
          <w:sz w:val="30"/>
          <w:szCs w:val="30"/>
          <w:lang w:eastAsia="fr-FR"/>
        </w:rPr>
      </w:pPr>
      <w:r w:rsidRPr="00B12EC5">
        <w:rPr>
          <w:rFonts w:ascii="Lato" w:eastAsia="Times New Roman" w:hAnsi="Lato" w:cs="Times New Roman"/>
          <w:color w:val="000000"/>
          <w:sz w:val="30"/>
          <w:szCs w:val="30"/>
          <w:lang w:eastAsia="fr-FR"/>
        </w:rPr>
        <w:t>Au sein du comité d'entreprise</w:t>
      </w:r>
    </w:p>
    <w:p w:rsidR="00B12EC5" w:rsidRPr="00B12EC5" w:rsidRDefault="00B12EC5" w:rsidP="00B12EC5">
      <w:pPr>
        <w:numPr>
          <w:ilvl w:val="0"/>
          <w:numId w:val="1"/>
        </w:numPr>
        <w:shd w:val="clear" w:color="auto" w:fill="FFFFFF"/>
        <w:spacing w:before="100" w:beforeAutospacing="1" w:after="150" w:line="240" w:lineRule="auto"/>
        <w:rPr>
          <w:rFonts w:ascii="Lato" w:eastAsia="Times New Roman" w:hAnsi="Lato" w:cs="Times New Roman"/>
          <w:color w:val="000000"/>
          <w:sz w:val="30"/>
          <w:szCs w:val="30"/>
          <w:lang w:eastAsia="fr-FR"/>
        </w:rPr>
      </w:pPr>
      <w:r w:rsidRPr="00B12EC5">
        <w:rPr>
          <w:rFonts w:ascii="Lato" w:eastAsia="Times New Roman" w:hAnsi="Lato" w:cs="Times New Roman"/>
          <w:color w:val="000000"/>
          <w:sz w:val="30"/>
          <w:szCs w:val="30"/>
          <w:lang w:eastAsia="fr-FR"/>
        </w:rPr>
        <w:t>A la suite de la ratification à la majorité des deux tiers des salariés</w:t>
      </w:r>
    </w:p>
    <w:p w:rsidR="00B12EC5" w:rsidRPr="00B12EC5" w:rsidRDefault="00B12EC5" w:rsidP="00B12EC5">
      <w:pPr>
        <w:numPr>
          <w:ilvl w:val="0"/>
          <w:numId w:val="1"/>
        </w:numPr>
        <w:shd w:val="clear" w:color="auto" w:fill="FFFFFF"/>
        <w:spacing w:before="100" w:beforeAutospacing="1" w:after="0" w:line="240" w:lineRule="auto"/>
        <w:rPr>
          <w:rFonts w:ascii="Lato" w:eastAsia="Times New Roman" w:hAnsi="Lato" w:cs="Times New Roman"/>
          <w:color w:val="000000"/>
          <w:sz w:val="30"/>
          <w:szCs w:val="30"/>
          <w:lang w:eastAsia="fr-FR"/>
        </w:rPr>
      </w:pPr>
      <w:r w:rsidRPr="00B12EC5">
        <w:rPr>
          <w:rFonts w:ascii="Lato" w:eastAsia="Times New Roman" w:hAnsi="Lato" w:cs="Times New Roman"/>
          <w:color w:val="000000"/>
          <w:sz w:val="30"/>
          <w:szCs w:val="30"/>
          <w:lang w:eastAsia="fr-FR"/>
        </w:rPr>
        <w:t>Par </w:t>
      </w:r>
      <w:hyperlink r:id="rId5" w:history="1">
        <w:r w:rsidRPr="00B12EC5">
          <w:rPr>
            <w:rFonts w:ascii="Lato" w:eastAsia="Times New Roman" w:hAnsi="Lato" w:cs="Times New Roman"/>
            <w:b/>
            <w:bCs/>
            <w:color w:val="278ECC"/>
            <w:sz w:val="30"/>
            <w:szCs w:val="30"/>
            <w:u w:val="single"/>
            <w:lang w:eastAsia="fr-FR"/>
          </w:rPr>
          <w:t>décision unilatérale du chef d’entreprise</w:t>
        </w:r>
      </w:hyperlink>
      <w:r w:rsidRPr="00B12EC5">
        <w:rPr>
          <w:rFonts w:ascii="Lato" w:eastAsia="Times New Roman" w:hAnsi="Lato" w:cs="Times New Roman"/>
          <w:b/>
          <w:bCs/>
          <w:color w:val="000000"/>
          <w:sz w:val="30"/>
          <w:szCs w:val="30"/>
          <w:lang w:eastAsia="fr-FR"/>
        </w:rPr>
        <w:t> </w:t>
      </w:r>
      <w:r w:rsidRPr="00B12EC5">
        <w:rPr>
          <w:rFonts w:ascii="Lato" w:eastAsia="Times New Roman" w:hAnsi="Lato" w:cs="Times New Roman"/>
          <w:color w:val="000000"/>
          <w:sz w:val="30"/>
          <w:szCs w:val="30"/>
          <w:lang w:eastAsia="fr-FR"/>
        </w:rPr>
        <w:t>si les négociations avec les représentants du personnel n’ont pas abouti.</w:t>
      </w:r>
    </w:p>
    <w:p w:rsidR="00B12EC5" w:rsidRDefault="00B12EC5" w:rsidP="00B12EC5">
      <w:pPr>
        <w:shd w:val="clear" w:color="auto" w:fill="FFFFFF"/>
        <w:spacing w:after="225" w:line="240" w:lineRule="auto"/>
        <w:rPr>
          <w:rFonts w:ascii="Lato" w:eastAsia="Times New Roman" w:hAnsi="Lato" w:cs="Times New Roman"/>
          <w:color w:val="000000"/>
          <w:sz w:val="30"/>
          <w:szCs w:val="30"/>
          <w:lang w:eastAsia="fr-FR"/>
        </w:rPr>
      </w:pPr>
      <w:r w:rsidRPr="00B12EC5">
        <w:rPr>
          <w:rFonts w:ascii="Lato" w:eastAsia="Times New Roman" w:hAnsi="Lato" w:cs="Times New Roman"/>
          <w:color w:val="000000"/>
          <w:sz w:val="30"/>
          <w:szCs w:val="30"/>
          <w:lang w:eastAsia="fr-FR"/>
        </w:rPr>
        <w:lastRenderedPageBreak/>
        <w:t>Il est vivement recommandé d'agir avec l'aide d'un professionnel, notamment pour éviter tous litiges en matière de droit du travail et de la négociation collective.</w:t>
      </w:r>
    </w:p>
    <w:p w:rsidR="009C6B48" w:rsidRDefault="009C6B48" w:rsidP="009C6B48">
      <w:pPr>
        <w:pStyle w:val="Titre2"/>
        <w:shd w:val="clear" w:color="auto" w:fill="FFFFFF"/>
        <w:spacing w:before="525" w:beforeAutospacing="0" w:after="300" w:afterAutospacing="0"/>
        <w:rPr>
          <w:rFonts w:ascii="Merriweather" w:hAnsi="Merriweather"/>
          <w:color w:val="000000"/>
          <w:sz w:val="39"/>
          <w:szCs w:val="39"/>
        </w:rPr>
      </w:pPr>
      <w:r>
        <w:rPr>
          <w:rFonts w:ascii="Merriweather" w:hAnsi="Merriweather"/>
          <w:color w:val="000000"/>
          <w:sz w:val="39"/>
          <w:szCs w:val="39"/>
        </w:rPr>
        <w:t>Règlement</w:t>
      </w:r>
      <w:bookmarkStart w:id="0" w:name="_GoBack"/>
      <w:bookmarkEnd w:id="0"/>
      <w:r>
        <w:rPr>
          <w:rFonts w:ascii="Merriweather" w:hAnsi="Merriweather"/>
          <w:color w:val="000000"/>
          <w:sz w:val="39"/>
          <w:szCs w:val="39"/>
        </w:rPr>
        <w:t xml:space="preserve"> du PEE : information de l’administration</w:t>
      </w:r>
    </w:p>
    <w:p w:rsidR="00B12EC5" w:rsidRPr="00B12EC5" w:rsidRDefault="00B12EC5" w:rsidP="00B12EC5">
      <w:pPr>
        <w:shd w:val="clear" w:color="auto" w:fill="FFFFFF"/>
        <w:spacing w:after="225" w:line="240" w:lineRule="auto"/>
        <w:rPr>
          <w:rFonts w:ascii="Lato" w:eastAsia="Times New Roman" w:hAnsi="Lato" w:cs="Times New Roman"/>
          <w:color w:val="000000"/>
          <w:sz w:val="30"/>
          <w:szCs w:val="30"/>
          <w:lang w:eastAsia="fr-FR"/>
        </w:rPr>
      </w:pPr>
      <w:r w:rsidRPr="00B12EC5">
        <w:rPr>
          <w:rFonts w:ascii="Lato" w:eastAsia="Times New Roman" w:hAnsi="Lato" w:cs="Times New Roman"/>
          <w:color w:val="000000"/>
          <w:sz w:val="30"/>
          <w:szCs w:val="30"/>
          <w:lang w:eastAsia="fr-FR"/>
        </w:rPr>
        <w:t>Le règlement du PEE doit être déposé auprès de la </w:t>
      </w:r>
      <w:hyperlink r:id="rId6" w:history="1">
        <w:r w:rsidRPr="00B12EC5">
          <w:rPr>
            <w:rFonts w:ascii="Lato" w:eastAsia="Times New Roman" w:hAnsi="Lato" w:cs="Times New Roman"/>
            <w:color w:val="278ECC"/>
            <w:sz w:val="30"/>
            <w:szCs w:val="30"/>
            <w:u w:val="single"/>
            <w:lang w:eastAsia="fr-FR"/>
          </w:rPr>
          <w:t>DIRECCTE</w:t>
        </w:r>
      </w:hyperlink>
      <w:r w:rsidRPr="00B12EC5">
        <w:rPr>
          <w:rFonts w:ascii="Lato" w:eastAsia="Times New Roman" w:hAnsi="Lato" w:cs="Times New Roman"/>
          <w:color w:val="000000"/>
          <w:sz w:val="30"/>
          <w:szCs w:val="30"/>
          <w:lang w:eastAsia="fr-FR"/>
        </w:rPr>
        <w:t> du lieu d'établissement de l'entreprise. Ce dépôt est obligatoire pour bénéficier des exonérations sociales.</w:t>
      </w:r>
    </w:p>
    <w:p w:rsidR="00CE4443" w:rsidRDefault="009C6B48">
      <w:pPr>
        <w:rPr>
          <w:rFonts w:ascii="Lato" w:eastAsia="Times New Roman" w:hAnsi="Lato" w:cs="Times New Roman"/>
          <w:color w:val="000000"/>
          <w:sz w:val="30"/>
          <w:szCs w:val="30"/>
          <w:lang w:eastAsia="fr-FR"/>
        </w:rPr>
      </w:pPr>
      <w:hyperlink r:id="rId7" w:history="1">
        <w:r w:rsidR="00B12EC5" w:rsidRPr="00B12EC5">
          <w:rPr>
            <w:rFonts w:ascii="Lato" w:eastAsia="Times New Roman" w:hAnsi="Lato" w:cs="Times New Roman"/>
            <w:color w:val="278ECC"/>
            <w:sz w:val="30"/>
            <w:szCs w:val="30"/>
            <w:u w:val="single"/>
            <w:lang w:eastAsia="fr-FR"/>
          </w:rPr>
          <w:t>DIRECCTE</w:t>
        </w:r>
      </w:hyperlink>
    </w:p>
    <w:p w:rsidR="00B12EC5" w:rsidRPr="00B12EC5" w:rsidRDefault="00B12EC5" w:rsidP="00B12EC5">
      <w:pPr>
        <w:shd w:val="clear" w:color="auto" w:fill="FFFFFF"/>
        <w:spacing w:after="225" w:line="240" w:lineRule="auto"/>
        <w:rPr>
          <w:rFonts w:ascii="Lato" w:eastAsia="Times New Roman" w:hAnsi="Lato" w:cs="Times New Roman"/>
          <w:color w:val="000000"/>
          <w:sz w:val="30"/>
          <w:szCs w:val="30"/>
          <w:lang w:eastAsia="fr-FR"/>
        </w:rPr>
      </w:pPr>
      <w:r w:rsidRPr="00B12EC5">
        <w:rPr>
          <w:rFonts w:ascii="Lato" w:eastAsia="Times New Roman" w:hAnsi="Lato" w:cs="Times New Roman"/>
          <w:color w:val="000000"/>
          <w:sz w:val="30"/>
          <w:szCs w:val="30"/>
          <w:lang w:eastAsia="fr-FR"/>
        </w:rPr>
        <w:t>La </w:t>
      </w:r>
      <w:r w:rsidRPr="00B12EC5">
        <w:rPr>
          <w:rFonts w:ascii="Lato" w:eastAsia="Times New Roman" w:hAnsi="Lato" w:cs="Times New Roman"/>
          <w:b/>
          <w:bCs/>
          <w:color w:val="000000"/>
          <w:sz w:val="30"/>
          <w:szCs w:val="30"/>
          <w:lang w:eastAsia="fr-FR"/>
        </w:rPr>
        <w:t>Direction régionale des entreprises, de la concurrence, de la consommation, du travail et de l'emploi </w:t>
      </w:r>
      <w:r w:rsidRPr="00B12EC5">
        <w:rPr>
          <w:rFonts w:ascii="Lato" w:eastAsia="Times New Roman" w:hAnsi="Lato" w:cs="Times New Roman"/>
          <w:color w:val="000000"/>
          <w:sz w:val="30"/>
          <w:szCs w:val="30"/>
          <w:lang w:eastAsia="fr-FR"/>
        </w:rPr>
        <w:t>(DIRECCTE) regroupe des services administratifs : commerce extérieur, tourisme, commerce et artisanat, intelligence économique, industrie, travail et emploi, concurrence et consommation. Les accords d’entreprise en prévoyance collective doivent notamment être déposés à la </w:t>
      </w:r>
      <w:r w:rsidRPr="00B12EC5">
        <w:rPr>
          <w:rFonts w:ascii="Lato" w:eastAsia="Times New Roman" w:hAnsi="Lato" w:cs="Times New Roman"/>
          <w:b/>
          <w:bCs/>
          <w:color w:val="000000"/>
          <w:sz w:val="30"/>
          <w:szCs w:val="30"/>
          <w:lang w:eastAsia="fr-FR"/>
        </w:rPr>
        <w:t>DIRECCTE</w:t>
      </w:r>
      <w:r w:rsidRPr="00B12EC5">
        <w:rPr>
          <w:rFonts w:ascii="Lato" w:eastAsia="Times New Roman" w:hAnsi="Lato" w:cs="Times New Roman"/>
          <w:color w:val="000000"/>
          <w:sz w:val="30"/>
          <w:szCs w:val="30"/>
          <w:lang w:eastAsia="fr-FR"/>
        </w:rPr>
        <w:t>.</w:t>
      </w:r>
    </w:p>
    <w:p w:rsidR="00B12EC5" w:rsidRPr="00B12EC5" w:rsidRDefault="00B12EC5" w:rsidP="00B12EC5">
      <w:pPr>
        <w:shd w:val="clear" w:color="auto" w:fill="FFFFFF"/>
        <w:spacing w:after="225" w:line="240" w:lineRule="auto"/>
        <w:rPr>
          <w:rFonts w:ascii="Lato" w:eastAsia="Times New Roman" w:hAnsi="Lato" w:cs="Times New Roman"/>
          <w:color w:val="000000"/>
          <w:sz w:val="30"/>
          <w:szCs w:val="30"/>
          <w:lang w:eastAsia="fr-FR"/>
        </w:rPr>
      </w:pPr>
      <w:r w:rsidRPr="00B12EC5">
        <w:rPr>
          <w:rFonts w:ascii="Lato" w:eastAsia="Times New Roman" w:hAnsi="Lato" w:cs="Times New Roman"/>
          <w:color w:val="000000"/>
          <w:sz w:val="30"/>
          <w:szCs w:val="30"/>
          <w:lang w:eastAsia="fr-FR"/>
        </w:rPr>
        <w:t>La </w:t>
      </w:r>
      <w:r w:rsidRPr="00B12EC5">
        <w:rPr>
          <w:rFonts w:ascii="Lato" w:eastAsia="Times New Roman" w:hAnsi="Lato" w:cs="Times New Roman"/>
          <w:b/>
          <w:bCs/>
          <w:color w:val="000000"/>
          <w:sz w:val="30"/>
          <w:szCs w:val="30"/>
          <w:lang w:eastAsia="fr-FR"/>
        </w:rPr>
        <w:t>DIRRECTE</w:t>
      </w:r>
      <w:r w:rsidRPr="00B12EC5">
        <w:rPr>
          <w:rFonts w:ascii="Lato" w:eastAsia="Times New Roman" w:hAnsi="Lato" w:cs="Times New Roman"/>
          <w:color w:val="000000"/>
          <w:sz w:val="30"/>
          <w:szCs w:val="30"/>
          <w:lang w:eastAsia="fr-FR"/>
        </w:rPr>
        <w:t> dispose d’un </w:t>
      </w:r>
      <w:hyperlink r:id="rId8" w:tgtFrame="_blank" w:history="1">
        <w:r w:rsidRPr="00B12EC5">
          <w:rPr>
            <w:rFonts w:ascii="Lato" w:eastAsia="Times New Roman" w:hAnsi="Lato" w:cs="Times New Roman"/>
            <w:color w:val="278ECC"/>
            <w:sz w:val="30"/>
            <w:szCs w:val="30"/>
            <w:u w:val="single"/>
            <w:lang w:eastAsia="fr-FR"/>
          </w:rPr>
          <w:t>portail national</w:t>
        </w:r>
      </w:hyperlink>
      <w:r w:rsidRPr="00B12EC5">
        <w:rPr>
          <w:rFonts w:ascii="Lato" w:eastAsia="Times New Roman" w:hAnsi="Lato" w:cs="Times New Roman"/>
          <w:color w:val="000000"/>
          <w:sz w:val="30"/>
          <w:szCs w:val="30"/>
          <w:lang w:eastAsia="fr-FR"/>
        </w:rPr>
        <w:t>.</w:t>
      </w:r>
    </w:p>
    <w:p w:rsidR="00B12EC5" w:rsidRDefault="00B12EC5"/>
    <w:sectPr w:rsidR="00B12EC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Merriweather">
    <w:altName w:val="Times New Roman"/>
    <w:panose1 w:val="00000000000000000000"/>
    <w:charset w:val="00"/>
    <w:family w:val="roman"/>
    <w:notTrueType/>
    <w:pitch w:val="default"/>
  </w:font>
  <w:font w:name="Lato">
    <w:altName w:val="Times New Roman"/>
    <w:panose1 w:val="00000000000000000000"/>
    <w:charset w:val="00"/>
    <w:family w:val="roman"/>
    <w:notTrueType/>
    <w:pitch w:val="default"/>
  </w:font>
  <w:font w:name="Calibri Light">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401729"/>
    <w:multiLevelType w:val="multilevel"/>
    <w:tmpl w:val="7D384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2EC5"/>
    <w:rsid w:val="009B4D1D"/>
    <w:rsid w:val="009C6B48"/>
    <w:rsid w:val="00B12EC5"/>
    <w:rsid w:val="00CE4443"/>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FAC07D"/>
  <w15:chartTrackingRefBased/>
  <w15:docId w15:val="{57FB0BB0-791A-4396-956B-82364239F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2">
    <w:name w:val="heading 2"/>
    <w:basedOn w:val="Normal"/>
    <w:link w:val="Titre2Car"/>
    <w:uiPriority w:val="9"/>
    <w:qFormat/>
    <w:rsid w:val="00B12EC5"/>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itre3">
    <w:name w:val="heading 3"/>
    <w:basedOn w:val="Normal"/>
    <w:link w:val="Titre3Car"/>
    <w:uiPriority w:val="9"/>
    <w:qFormat/>
    <w:rsid w:val="00B12EC5"/>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B12EC5"/>
    <w:rPr>
      <w:rFonts w:ascii="Times New Roman" w:eastAsia="Times New Roman" w:hAnsi="Times New Roman" w:cs="Times New Roman"/>
      <w:b/>
      <w:bCs/>
      <w:sz w:val="36"/>
      <w:szCs w:val="36"/>
      <w:lang w:eastAsia="fr-FR"/>
    </w:rPr>
  </w:style>
  <w:style w:type="character" w:customStyle="1" w:styleId="Titre3Car">
    <w:name w:val="Titre 3 Car"/>
    <w:basedOn w:val="Policepardfaut"/>
    <w:link w:val="Titre3"/>
    <w:uiPriority w:val="9"/>
    <w:rsid w:val="00B12EC5"/>
    <w:rPr>
      <w:rFonts w:ascii="Times New Roman" w:eastAsia="Times New Roman" w:hAnsi="Times New Roman" w:cs="Times New Roman"/>
      <w:b/>
      <w:bCs/>
      <w:sz w:val="27"/>
      <w:szCs w:val="27"/>
      <w:lang w:eastAsia="fr-FR"/>
    </w:rPr>
  </w:style>
  <w:style w:type="paragraph" w:styleId="NormalWeb">
    <w:name w:val="Normal (Web)"/>
    <w:basedOn w:val="Normal"/>
    <w:uiPriority w:val="99"/>
    <w:semiHidden/>
    <w:unhideWhenUsed/>
    <w:rsid w:val="00B12EC5"/>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B12EC5"/>
    <w:rPr>
      <w:b/>
      <w:bCs/>
    </w:rPr>
  </w:style>
  <w:style w:type="character" w:styleId="Lienhypertexte">
    <w:name w:val="Hyperlink"/>
    <w:basedOn w:val="Policepardfaut"/>
    <w:uiPriority w:val="99"/>
    <w:semiHidden/>
    <w:unhideWhenUsed/>
    <w:rsid w:val="00B12EC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2084026">
      <w:bodyDiv w:val="1"/>
      <w:marLeft w:val="0"/>
      <w:marRight w:val="0"/>
      <w:marTop w:val="0"/>
      <w:marBottom w:val="0"/>
      <w:divBdr>
        <w:top w:val="none" w:sz="0" w:space="0" w:color="auto"/>
        <w:left w:val="none" w:sz="0" w:space="0" w:color="auto"/>
        <w:bottom w:val="none" w:sz="0" w:space="0" w:color="auto"/>
        <w:right w:val="none" w:sz="0" w:space="0" w:color="auto"/>
      </w:divBdr>
    </w:div>
    <w:div w:id="1373380341">
      <w:bodyDiv w:val="1"/>
      <w:marLeft w:val="0"/>
      <w:marRight w:val="0"/>
      <w:marTop w:val="0"/>
      <w:marBottom w:val="0"/>
      <w:divBdr>
        <w:top w:val="none" w:sz="0" w:space="0" w:color="auto"/>
        <w:left w:val="none" w:sz="0" w:space="0" w:color="auto"/>
        <w:bottom w:val="none" w:sz="0" w:space="0" w:color="auto"/>
        <w:right w:val="none" w:sz="0" w:space="0" w:color="auto"/>
      </w:divBdr>
    </w:div>
    <w:div w:id="1565598997">
      <w:bodyDiv w:val="1"/>
      <w:marLeft w:val="0"/>
      <w:marRight w:val="0"/>
      <w:marTop w:val="0"/>
      <w:marBottom w:val="0"/>
      <w:divBdr>
        <w:top w:val="none" w:sz="0" w:space="0" w:color="auto"/>
        <w:left w:val="none" w:sz="0" w:space="0" w:color="auto"/>
        <w:bottom w:val="none" w:sz="0" w:space="0" w:color="auto"/>
        <w:right w:val="none" w:sz="0" w:space="0" w:color="auto"/>
      </w:divBdr>
      <w:divsChild>
        <w:div w:id="1066227629">
          <w:marLeft w:val="0"/>
          <w:marRight w:val="0"/>
          <w:marTop w:val="0"/>
          <w:marBottom w:val="0"/>
          <w:divBdr>
            <w:top w:val="none" w:sz="0" w:space="0" w:color="auto"/>
            <w:left w:val="none" w:sz="0" w:space="0" w:color="auto"/>
            <w:bottom w:val="none" w:sz="0" w:space="0" w:color="auto"/>
            <w:right w:val="none" w:sz="0" w:space="0" w:color="auto"/>
          </w:divBdr>
        </w:div>
        <w:div w:id="652150134">
          <w:marLeft w:val="0"/>
          <w:marRight w:val="0"/>
          <w:marTop w:val="0"/>
          <w:marBottom w:val="0"/>
          <w:divBdr>
            <w:top w:val="none" w:sz="0" w:space="0" w:color="auto"/>
            <w:left w:val="none" w:sz="0" w:space="0" w:color="auto"/>
            <w:bottom w:val="none" w:sz="0" w:space="0" w:color="auto"/>
            <w:right w:val="none" w:sz="0" w:space="0" w:color="auto"/>
          </w:divBdr>
        </w:div>
        <w:div w:id="2070182387">
          <w:marLeft w:val="0"/>
          <w:marRight w:val="0"/>
          <w:marTop w:val="0"/>
          <w:marBottom w:val="0"/>
          <w:divBdr>
            <w:top w:val="none" w:sz="0" w:space="0" w:color="auto"/>
            <w:left w:val="none" w:sz="0" w:space="0" w:color="auto"/>
            <w:bottom w:val="none" w:sz="0" w:space="0" w:color="auto"/>
            <w:right w:val="none" w:sz="0" w:space="0" w:color="auto"/>
          </w:divBdr>
        </w:div>
        <w:div w:id="5041694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ireccte.gouv.fr/" TargetMode="External"/><Relationship Id="rId3" Type="http://schemas.openxmlformats.org/officeDocument/2006/relationships/settings" Target="settings.xml"/><Relationship Id="rId7" Type="http://schemas.openxmlformats.org/officeDocument/2006/relationships/hyperlink" Target="https://www.previssima.fr/lexique/direccte.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previssima.fr/lexique/direccte.html" TargetMode="External"/><Relationship Id="rId5" Type="http://schemas.openxmlformats.org/officeDocument/2006/relationships/hyperlink" Target="https://www.previssima.fr/question-pratique/le-chef-dentreprise-peut-il-negocier-seul-un-pee.html"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TotalTime>
  <Pages>2</Pages>
  <Words>379</Words>
  <Characters>2089</Characters>
  <Application>Microsoft Office Word</Application>
  <DocSecurity>0</DocSecurity>
  <Lines>17</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2020-12-04T15:39:00Z</dcterms:created>
  <dcterms:modified xsi:type="dcterms:W3CDTF">2020-12-14T13:14:00Z</dcterms:modified>
</cp:coreProperties>
</file>