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5A7D5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118890AA" w:rsidR="00C43537" w:rsidRPr="002C6924" w:rsidRDefault="005A7D5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H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  <w:p w14:paraId="1A71FDAD" w14:textId="77777777" w:rsidR="00C43537" w:rsidRPr="002C6924" w:rsidRDefault="005A7D5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Développeur JAVA Sénior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118890AA" w:rsidR="00C43537" w:rsidRPr="002C6924" w:rsidRDefault="005A7D5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H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B</w:t>
                      </w:r>
                    </w:p>
                    <w:p w14:paraId="1A71FDAD" w14:textId="77777777" w:rsidR="00C43537" w:rsidRPr="002C6924" w:rsidRDefault="005A7D5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Développeur JAVA Sénior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5A7D5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5A7D56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5A7D56">
            <w:pPr>
              <w:pStyle w:val="normal1"/>
              <w:widowControl w:val="0"/>
            </w:pPr>
            <w:r>
              <w:rPr>
                <w:b/>
              </w:rPr>
              <w:t>Méthodologies</w:t>
            </w:r>
          </w:p>
        </w:tc>
      </w:tr>
      <w:tr w:rsidR="00C43537" w14:paraId="5D254648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5341" w14:textId="77777777" w:rsidR="00C43537" w:rsidRDefault="005A7D56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C9C4" w14:textId="77777777" w:rsidR="00C43537" w:rsidRDefault="005A7D56">
            <w:pPr>
              <w:pStyle w:val="normal1"/>
              <w:widowControl w:val="0"/>
            </w:pPr>
            <w:r>
              <w:rPr>
                <w:b/>
              </w:rPr>
              <w:t>BDD, Agile</w:t>
            </w:r>
          </w:p>
        </w:tc>
      </w:tr>
      <w:tr w:rsidR="00C43537" w14:paraId="523B8032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2F70" w14:textId="77777777" w:rsidR="00C43537" w:rsidRDefault="005A7D56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E27B" w14:textId="77777777" w:rsidR="00C43537" w:rsidRDefault="005A7D56">
            <w:pPr>
              <w:pStyle w:val="normal1"/>
              <w:widowControl w:val="0"/>
            </w:pPr>
            <w:r>
              <w:rPr>
                <w:b/>
              </w:rPr>
              <w:t>Scrum</w:t>
            </w:r>
          </w:p>
        </w:tc>
      </w:tr>
      <w:tr w:rsidR="00C43537" w:rsidRPr="00702E48" w14:paraId="6CCCE883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CD23" w14:textId="77777777" w:rsidR="00C43537" w:rsidRDefault="005A7D56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A2C9" w14:textId="77777777" w:rsidR="00C43537" w:rsidRPr="00702E48" w:rsidRDefault="005A7D56">
            <w:pPr>
              <w:pStyle w:val="normal1"/>
              <w:widowControl w:val="0"/>
              <w:rPr>
                <w:lang w:val="en-US"/>
              </w:rPr>
            </w:pPr>
            <w:r w:rsidRPr="00702E48">
              <w:rPr>
                <w:b/>
                <w:lang w:val="en-US"/>
              </w:rPr>
              <w:t>TDD, Jira, OpenShift, JUnit 5, GraphQL, Spring Data, DDD, MongoDB, PostgreSQL, Oracle, Camunda, Ansible, Grafana, Kibana, ElasticSearch, Kubernetes, Docker, Maven, Git, SOAP, REST, CSS, HTML, SQL, React, Angular, Hibernate, Kafka Streaming, Spring (Core, B</w:t>
            </w:r>
            <w:r w:rsidRPr="00702E48">
              <w:rPr>
                <w:b/>
                <w:lang w:val="en-US"/>
              </w:rPr>
              <w:t>oot, Data, Cache, Security, Batch), Modélisation</w:t>
            </w:r>
          </w:p>
        </w:tc>
      </w:tr>
      <w:tr w:rsidR="00C43537" w:rsidRPr="00702E48" w14:paraId="4F66A45E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CE39" w14:textId="77777777" w:rsidR="00C43537" w:rsidRDefault="005A7D56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1216" w14:textId="77777777" w:rsidR="00C43537" w:rsidRPr="00702E48" w:rsidRDefault="005A7D56">
            <w:pPr>
              <w:pStyle w:val="normal1"/>
              <w:widowControl w:val="0"/>
              <w:rPr>
                <w:lang w:val="en-US"/>
              </w:rPr>
            </w:pPr>
            <w:r w:rsidRPr="00702E48">
              <w:rPr>
                <w:b/>
                <w:lang w:val="en-US"/>
              </w:rPr>
              <w:t>Eclipse, Tomcat, IntelliJ, Keycloak, Jenkins, SVN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5A7D56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5A7D5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Arabe</w:t>
            </w:r>
          </w:p>
          <w:p w14:paraId="2FBC83D7" w14:textId="77777777" w:rsidR="00C43537" w:rsidRDefault="005A7D5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6E1A92D7" w14:textId="77777777" w:rsidR="00C43537" w:rsidRDefault="005A7D5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5A7D5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5A7D5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5A7D5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Ingénieur d’informatique</w:t>
            </w:r>
          </w:p>
          <w:p w14:paraId="3BFC5A56" w14:textId="77777777" w:rsidR="00C43537" w:rsidRDefault="005A7D5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Académie Internationale de l’Aviation civile (AIAC)</w:t>
            </w:r>
          </w:p>
        </w:tc>
      </w:tr>
      <w:tr w:rsidR="00C43537" w14:paraId="503FD64E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23BE" w14:textId="77777777" w:rsidR="00C43537" w:rsidRDefault="005A7D5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2013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D736" w14:textId="77777777" w:rsidR="00C43537" w:rsidRDefault="005A7D5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Filière MPSI/MP</w:t>
            </w:r>
          </w:p>
          <w:p w14:paraId="1B380C62" w14:textId="77777777" w:rsidR="00C43537" w:rsidRDefault="005A7D5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Classes Préparatoires aux Grandes Ecoles d’ingénieurs, Carnot PREPA</w:t>
            </w:r>
          </w:p>
        </w:tc>
      </w:tr>
      <w:tr w:rsidR="00C43537" w14:paraId="1D85266B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4BD9" w14:textId="77777777" w:rsidR="00C43537" w:rsidRDefault="005A7D5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91AE" w14:textId="77777777" w:rsidR="00C43537" w:rsidRDefault="005A7D5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Baccalauréat sciences mathématiques-B</w:t>
            </w:r>
          </w:p>
          <w:p w14:paraId="2098B5DA" w14:textId="77777777" w:rsidR="00C43537" w:rsidRDefault="00C43537">
            <w:pPr>
              <w:pStyle w:val="normal1"/>
              <w:widowControl w:val="0"/>
              <w:jc w:val="both"/>
              <w:rPr>
                <w:b/>
              </w:rPr>
            </w:pP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5A7D5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5A7D56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702E48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CNSS</w:t>
            </w:r>
          </w:p>
          <w:p w14:paraId="0C5F9A94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Techlead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fullstack</w:t>
            </w:r>
            <w:proofErr w:type="spellEnd"/>
          </w:p>
          <w:p w14:paraId="53C79BC4" w14:textId="77777777" w:rsidR="00C43537" w:rsidRDefault="005A7D5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5A7D5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09/2024 – 01/2025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t>Projet : Techlead fullstack</w:t>
            </w:r>
          </w:p>
          <w:p w14:paraId="18C4652F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Participation au programme de transformation digitale de la CNSS, centré sur la refonte des systèmes assurantiels et la consolidation des flux d’information autour des bénéficiaires.</w:t>
            </w:r>
          </w:p>
          <w:p w14:paraId="416A6BF4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et développement de microservices selon une architectu</w:t>
            </w:r>
            <w:r>
              <w:rPr>
                <w:color w:val="000000"/>
                <w:sz w:val="21"/>
                <w:szCs w:val="21"/>
              </w:rPr>
              <w:t>re DDD et hexagonale</w:t>
            </w:r>
          </w:p>
          <w:p w14:paraId="181F8F8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à la modélisation des API REST et GraphQL pour la consultation des données des bénéficiaires</w:t>
            </w:r>
          </w:p>
          <w:p w14:paraId="0DD1A11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tests unitaires et d’intégration</w:t>
            </w:r>
          </w:p>
          <w:p w14:paraId="3E1D6C3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Challenger les besoins fonctionnels et collaborer à la priorisation des sujets</w:t>
            </w:r>
            <w:r>
              <w:rPr>
                <w:color w:val="000000"/>
                <w:sz w:val="21"/>
                <w:szCs w:val="21"/>
              </w:rPr>
              <w:t xml:space="preserve"> techniques</w:t>
            </w:r>
          </w:p>
          <w:p w14:paraId="09CD155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Assurer la montée en compétences des nouveaux recrues</w:t>
            </w:r>
          </w:p>
          <w:p w14:paraId="1BB81CD2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Encadrer l’équipe de développement (revue de code, mise en œuvre de bonnes pratiques)</w:t>
            </w:r>
          </w:p>
          <w:p w14:paraId="01366DF3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Collaboration avec l’équipe architecture et cybersécurité pour la modélisation du système global de la C</w:t>
            </w:r>
            <w:r>
              <w:rPr>
                <w:color w:val="000000"/>
                <w:sz w:val="21"/>
                <w:szCs w:val="21"/>
              </w:rPr>
              <w:t>NSS</w:t>
            </w:r>
          </w:p>
          <w:p w14:paraId="2024A599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Étudier les impacts des nouvelles fonctionnalités à implémenter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Pr="00702E48" w:rsidRDefault="005A7D56">
            <w:pPr>
              <w:pStyle w:val="normal1"/>
              <w:widowControl w:val="0"/>
              <w:jc w:val="left"/>
              <w:rPr>
                <w:lang w:val="en-US"/>
              </w:rPr>
            </w:pPr>
            <w:r w:rsidRPr="00702E48">
              <w:rPr>
                <w:b/>
                <w:color w:val="002060"/>
                <w:lang w:val="en-US"/>
              </w:rPr>
              <w:t>Technologies:</w:t>
            </w:r>
            <w:r w:rsidRPr="00702E48">
              <w:rPr>
                <w:lang w:val="en-US"/>
              </w:rPr>
              <w:t xml:space="preserve"> Angular 17,  Mockito 5,  JUnit 5,  GraphQL,  Kubernetes,  Docker,  Jenkins,  Maven 3,  Keycloak,  Apache Cassandra 5,  Spring Data,  Spring Security,  Spring Cloud,  Spring </w:t>
            </w:r>
            <w:r w:rsidRPr="00702E48">
              <w:rPr>
                <w:lang w:val="en-US"/>
              </w:rPr>
              <w:t>Boot,  Architecture DDD &amp; Hexagonale,  Java 17</w:t>
            </w:r>
          </w:p>
        </w:tc>
      </w:tr>
    </w:tbl>
    <w:p w14:paraId="29B3CDCE" w14:textId="77777777" w:rsidR="00C43537" w:rsidRPr="00702E48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702E48" w14:paraId="4444F27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8F19967" w14:textId="77777777" w:rsidR="00C43537" w:rsidRPr="00702E48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2796D9F3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lastRenderedPageBreak/>
              <w:t>Raiffeisen Bank</w:t>
            </w:r>
          </w:p>
          <w:p w14:paraId="6134130C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API REST</w:t>
            </w:r>
          </w:p>
          <w:p w14:paraId="25CB900C" w14:textId="77777777" w:rsidR="00C43537" w:rsidRDefault="005A7D5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0D61EA4A" w14:textId="77777777" w:rsidR="00C43537" w:rsidRPr="002C6924" w:rsidRDefault="005A7D5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04/2023 – 08/2024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065C8C4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lastRenderedPageBreak/>
              <w:t>Projet : Développeur API REST</w:t>
            </w:r>
          </w:p>
          <w:p w14:paraId="5BD3BD4D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Conception et développement d’une application d’entrée en relation, permettant de traiter le workflow de validation des justificatifs du client (pièces </w:t>
            </w:r>
            <w:r>
              <w:lastRenderedPageBreak/>
              <w:t>d’identités, factures...).</w:t>
            </w:r>
          </w:p>
          <w:p w14:paraId="6512125B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1571E0E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au workshop permettant la conception de l’application</w:t>
            </w:r>
          </w:p>
          <w:p w14:paraId="0628AF4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>
              <w:rPr>
                <w:color w:val="000000"/>
                <w:sz w:val="21"/>
                <w:szCs w:val="21"/>
              </w:rPr>
              <w:t>articipation à la conception des modèles de données</w:t>
            </w:r>
          </w:p>
          <w:p w14:paraId="61D895AD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Etude de solution BPMN pour l’implémentation d’un POC (Camunda BPMN)</w:t>
            </w:r>
          </w:p>
          <w:p w14:paraId="4CF2E83E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Sécurisation des services avec keycloack</w:t>
            </w:r>
          </w:p>
          <w:p w14:paraId="1DC47DAC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Découpage et chiffrage des user stories</w:t>
            </w:r>
          </w:p>
          <w:p w14:paraId="1615FF96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des tests unitaires et d’intégration</w:t>
            </w:r>
          </w:p>
          <w:p w14:paraId="64FAD7A2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Release/Déploiement dans tous les environnements</w:t>
            </w:r>
          </w:p>
          <w:p w14:paraId="062F6042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28C87DC" w14:textId="77777777" w:rsidR="00C43537" w:rsidRPr="00702E48" w:rsidRDefault="005A7D56">
            <w:pPr>
              <w:pStyle w:val="normal1"/>
              <w:widowControl w:val="0"/>
              <w:jc w:val="left"/>
              <w:rPr>
                <w:lang w:val="en-US"/>
              </w:rPr>
            </w:pPr>
            <w:r w:rsidRPr="00702E48">
              <w:rPr>
                <w:b/>
                <w:color w:val="002060"/>
                <w:lang w:val="en-US"/>
              </w:rPr>
              <w:t>Technologies:</w:t>
            </w:r>
            <w:r w:rsidRPr="00702E48">
              <w:rPr>
                <w:lang w:val="en-US"/>
              </w:rPr>
              <w:t xml:space="preserve"> Méthode agile (Scrum),  Jira,  Intellij,  React,  OpenShift,  Camunda BPMN,  Keycloack,  Docker,  Sonar,  GIT,  Maven,  Testing (JUnit),  Rest Webservice,  Spring Cache,  Spring DATA,  Spring </w:t>
            </w:r>
            <w:r w:rsidRPr="00702E48">
              <w:rPr>
                <w:lang w:val="en-US"/>
              </w:rPr>
              <w:t>BOOT,  Hibernate,  Java (17)</w:t>
            </w:r>
          </w:p>
        </w:tc>
      </w:tr>
    </w:tbl>
    <w:p w14:paraId="24179102" w14:textId="77777777" w:rsidR="00C43537" w:rsidRPr="00702E48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702E48" w14:paraId="1F70EE67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722CD46" w14:textId="77777777" w:rsidR="00C43537" w:rsidRPr="00702E48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4D29BE36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Crédit Agricole</w:t>
            </w:r>
          </w:p>
          <w:p w14:paraId="5572F7E8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API REST / Tech lead</w:t>
            </w:r>
          </w:p>
          <w:p w14:paraId="369D5467" w14:textId="77777777" w:rsidR="00C43537" w:rsidRDefault="005A7D5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4CBBB415" w14:textId="77777777" w:rsidR="00C43537" w:rsidRPr="002C6924" w:rsidRDefault="005A7D5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10/2021 – 03/2023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7F85A1A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t>Projet : WEBANK</w:t>
            </w:r>
          </w:p>
          <w:p w14:paraId="6DA5746E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Refonte de la partie Greenfield de la banque, notamment une application mobile exposant les services de gestion de compte.</w:t>
            </w:r>
          </w:p>
          <w:p w14:paraId="7F7089C2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B61C39A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Coaching des développeurs</w:t>
            </w:r>
          </w:p>
          <w:p w14:paraId="1099A29F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Proposition de solutions techniques</w:t>
            </w:r>
          </w:p>
          <w:p w14:paraId="71005FA9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Implémentation de POC (Kafka)</w:t>
            </w:r>
          </w:p>
          <w:p w14:paraId="3662D58C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Assurer l’intégration entre le Core Banking (T24) et les autres API</w:t>
            </w:r>
          </w:p>
          <w:p w14:paraId="08A73F2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aux comités Techlead/Architecture</w:t>
            </w:r>
          </w:p>
          <w:p w14:paraId="132E1568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Etude, analyse et conception, déploiement et maintenance des applications sur mesure en se basant sur les normes standards et frameworks définis par le groupe</w:t>
            </w:r>
          </w:p>
          <w:p w14:paraId="69F7FBA3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Découpage et chiffrage des user stories</w:t>
            </w:r>
          </w:p>
          <w:p w14:paraId="697D99A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</w:t>
            </w:r>
            <w:r>
              <w:rPr>
                <w:color w:val="000000"/>
                <w:sz w:val="21"/>
                <w:szCs w:val="21"/>
              </w:rPr>
              <w:t>on des tests unitaires et d’intégration</w:t>
            </w:r>
          </w:p>
          <w:p w14:paraId="127C2B5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Release/Déploiement dans tous les environnements</w:t>
            </w:r>
          </w:p>
          <w:p w14:paraId="40970DEE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DFE4A2F" w14:textId="77777777" w:rsidR="00C43537" w:rsidRPr="00702E48" w:rsidRDefault="005A7D56">
            <w:pPr>
              <w:pStyle w:val="normal1"/>
              <w:widowControl w:val="0"/>
              <w:jc w:val="left"/>
              <w:rPr>
                <w:lang w:val="en-US"/>
              </w:rPr>
            </w:pPr>
            <w:r w:rsidRPr="00702E48">
              <w:rPr>
                <w:b/>
                <w:color w:val="002060"/>
                <w:lang w:val="en-US"/>
              </w:rPr>
              <w:t>Technologies:</w:t>
            </w:r>
            <w:r w:rsidRPr="00702E48">
              <w:rPr>
                <w:lang w:val="en-US"/>
              </w:rPr>
              <w:t xml:space="preserve"> Méthode agile (Scrum),  Jira,  Intellij,  Docker,  GitLab,  Sonar,  GIT,  Maven,  Testing (JUnit),  KAFKA Streaming,  Rest Webservice,  Spring Cache,  S</w:t>
            </w:r>
            <w:r w:rsidRPr="00702E48">
              <w:rPr>
                <w:lang w:val="en-US"/>
              </w:rPr>
              <w:t>pring DATA,  Spring BOOT,  Hibernate,  Jee,  Java (11/17)</w:t>
            </w:r>
          </w:p>
        </w:tc>
      </w:tr>
    </w:tbl>
    <w:p w14:paraId="4A76ACAD" w14:textId="77777777" w:rsidR="00C43537" w:rsidRPr="00702E48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702E48" w14:paraId="1A9F542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5CB38B9" w14:textId="77777777" w:rsidR="00C43537" w:rsidRPr="00702E48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204BDCD0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Société Générale</w:t>
            </w:r>
          </w:p>
          <w:p w14:paraId="1962D59B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Développeur API REST</w:t>
            </w:r>
          </w:p>
          <w:p w14:paraId="7FA95E11" w14:textId="77777777" w:rsidR="00C43537" w:rsidRDefault="005A7D5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F8AAC50" w14:textId="77777777" w:rsidR="00C43537" w:rsidRPr="002C6924" w:rsidRDefault="005A7D5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04/2019 – 09/2021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6012F8A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lastRenderedPageBreak/>
              <w:t>Projet : Legal ONBOARDING</w:t>
            </w:r>
          </w:p>
          <w:p w14:paraId="168976A2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de la partie légale d’un projet KYC, faisant partie des API REST du projet KSM-SG-</w:t>
            </w:r>
            <w:proofErr w:type="spellStart"/>
            <w:r>
              <w:t>Market</w:t>
            </w:r>
            <w:proofErr w:type="spellEnd"/>
            <w:r>
              <w:t>.</w:t>
            </w:r>
          </w:p>
          <w:p w14:paraId="3298F2DA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Mission</w:t>
            </w:r>
          </w:p>
          <w:p w14:paraId="30A97268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Etude, analyse et conception, déploiement et maintenance des applications sur mesure en se basant sur les normes standards et frameworks définis</w:t>
            </w:r>
            <w:r>
              <w:rPr>
                <w:color w:val="000000"/>
                <w:sz w:val="21"/>
                <w:szCs w:val="21"/>
              </w:rPr>
              <w:t xml:space="preserve"> par le groupe</w:t>
            </w:r>
          </w:p>
          <w:p w14:paraId="6F96D81E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Découpage et chiffrage des user stories</w:t>
            </w:r>
          </w:p>
          <w:p w14:paraId="08EDFD06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Interfaçage avec d’autres API REST</w:t>
            </w:r>
          </w:p>
          <w:p w14:paraId="2D10880D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de l’API REST via SWAGGER</w:t>
            </w:r>
          </w:p>
          <w:p w14:paraId="6E402F64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Respect d’une couverture de test imposé par l’équipe (80percent)</w:t>
            </w:r>
          </w:p>
          <w:p w14:paraId="2F66F2E9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des tests unitaires et d’intégration</w:t>
            </w:r>
          </w:p>
          <w:p w14:paraId="1B81978F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aux rituels d’agile en étant le Scrum Master dans quelques sprints</w:t>
            </w:r>
          </w:p>
          <w:p w14:paraId="55A0044B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Release/Déploiement dans tous les environnements</w:t>
            </w:r>
          </w:p>
          <w:p w14:paraId="76D185B0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Réalisation </w:t>
            </w:r>
            <w:r>
              <w:rPr>
                <w:color w:val="000000"/>
                <w:sz w:val="21"/>
                <w:szCs w:val="21"/>
              </w:rPr>
              <w:t>de quelques séances de partage technique</w:t>
            </w:r>
          </w:p>
          <w:p w14:paraId="5F02A5F9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3A6372C" w14:textId="77777777" w:rsidR="00C43537" w:rsidRPr="00702E48" w:rsidRDefault="005A7D56">
            <w:pPr>
              <w:pStyle w:val="normal1"/>
              <w:widowControl w:val="0"/>
              <w:jc w:val="left"/>
              <w:rPr>
                <w:lang w:val="en-US"/>
              </w:rPr>
            </w:pPr>
            <w:r w:rsidRPr="00702E48">
              <w:rPr>
                <w:b/>
                <w:color w:val="002060"/>
                <w:lang w:val="en-US"/>
              </w:rPr>
              <w:t>Technologies:</w:t>
            </w:r>
            <w:r w:rsidRPr="00702E48">
              <w:rPr>
                <w:lang w:val="en-US"/>
              </w:rPr>
              <w:t xml:space="preserve"> Méthode agile (Scrum),  Jira,  Intellij,  PostgreSQL,  kibana,  Elasticsearch,  Docker,  Jenkins,  Sonar,  GIT,  Maven,  Testing (JUnit),  Rest Webservice,  Spring Cache (2.3.8),  Spring DATA (2.3.6),</w:t>
            </w:r>
            <w:r w:rsidRPr="00702E48">
              <w:rPr>
                <w:lang w:val="en-US"/>
              </w:rPr>
              <w:t xml:space="preserve">  Spring BOOT (2.3.8),  Spring CORE (5.1.5),  Hibernate (5.3.7),  Java (8)</w:t>
            </w:r>
          </w:p>
        </w:tc>
      </w:tr>
    </w:tbl>
    <w:p w14:paraId="6D6CF6DF" w14:textId="77777777" w:rsidR="00C43537" w:rsidRPr="00702E48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640FB32A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847AF84" w14:textId="77777777" w:rsidR="00C43537" w:rsidRPr="00702E48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41252103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BNP PARIBAS</w:t>
            </w:r>
          </w:p>
          <w:p w14:paraId="4870438F" w14:textId="77777777" w:rsidR="00C43537" w:rsidRDefault="005A7D5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API REST</w:t>
            </w:r>
          </w:p>
          <w:p w14:paraId="15DCAC21" w14:textId="77777777" w:rsidR="00C43537" w:rsidRDefault="005A7D5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4DC42609" w14:textId="77777777" w:rsidR="00C43537" w:rsidRPr="002C6924" w:rsidRDefault="005A7D5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09/2016 – 03/2019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78F3FC03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t>Projet : Mobile Banking</w:t>
            </w:r>
          </w:p>
          <w:p w14:paraId="4317E9A3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d’une application mobile exposant les services bancaires (consultation de comptes, historique, opérations).</w:t>
            </w:r>
          </w:p>
          <w:p w14:paraId="076AF772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2DA3931A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Etude, analyse et conception, déploiement et maintenance des applications sur mesure en se basant sur les normes standards et </w:t>
            </w:r>
            <w:r>
              <w:rPr>
                <w:color w:val="000000"/>
                <w:sz w:val="21"/>
                <w:szCs w:val="21"/>
              </w:rPr>
              <w:t>frameworks définis par le groupe</w:t>
            </w:r>
          </w:p>
          <w:p w14:paraId="774F193E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Découpage et chiffrage des user stories</w:t>
            </w:r>
          </w:p>
          <w:p w14:paraId="308866B2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Interfaçage avec d’autres API REST et Core-Banking</w:t>
            </w:r>
          </w:p>
          <w:p w14:paraId="7BD88836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Respect des bonnes pratiques de développements : BDD, TDD, noms significatifs pour les classes, méthodes, variables...</w:t>
            </w:r>
          </w:p>
          <w:p w14:paraId="3CEE7FBF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Réalisation des tests unitaires et cucumber</w:t>
            </w:r>
          </w:p>
          <w:p w14:paraId="24A78D3E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AE2489B" w14:textId="77777777" w:rsidR="00C43537" w:rsidRPr="00702E48" w:rsidRDefault="005A7D56">
            <w:pPr>
              <w:pStyle w:val="normal1"/>
              <w:widowControl w:val="0"/>
              <w:jc w:val="left"/>
              <w:rPr>
                <w:lang w:val="en-US"/>
              </w:rPr>
            </w:pPr>
            <w:r w:rsidRPr="00702E48">
              <w:rPr>
                <w:b/>
                <w:color w:val="002060"/>
                <w:lang w:val="en-US"/>
              </w:rPr>
              <w:t>Technologies:</w:t>
            </w:r>
            <w:r w:rsidRPr="00702E48">
              <w:rPr>
                <w:lang w:val="en-US"/>
              </w:rPr>
              <w:t xml:space="preserve"> Méthode agile (Scrum),  Eclipse,  Oracle,  Tomcat,  Jenkins,  Sonar,  GIT,  Maven,  Testing (JUnit, Cucumber),  OpenId (keycloak),  Rest Webservice,  Spring DATA,  Spring BOOT (1.5.10),  Spring CORE (4.3.14),  Hibernate (5.3.6),  Java (8)</w:t>
            </w:r>
          </w:p>
          <w:p w14:paraId="66084E47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t>Projet : TRADE &amp;</w:t>
            </w:r>
            <w:r w:rsidRPr="00702E48">
              <w:rPr>
                <w:b/>
                <w:color w:val="002060"/>
              </w:rPr>
              <w:t xml:space="preserve"> CASH</w:t>
            </w:r>
          </w:p>
          <w:p w14:paraId="67AFF02D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d’une application WEB pour le traitement des transferts d’argent internationaux, intégrant 7 services back-office bancaires.</w:t>
            </w:r>
          </w:p>
          <w:p w14:paraId="639DEE40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3CC9E96A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Etude, analyse et conception, déploiement et maintenance des applications sur mesure en se basant sur l</w:t>
            </w:r>
            <w:r>
              <w:rPr>
                <w:color w:val="000000"/>
                <w:sz w:val="21"/>
                <w:szCs w:val="21"/>
              </w:rPr>
              <w:t xml:space="preserve">es normes standards et frameworks définis par le </w:t>
            </w:r>
            <w:r>
              <w:rPr>
                <w:color w:val="000000"/>
                <w:sz w:val="21"/>
                <w:szCs w:val="21"/>
              </w:rPr>
              <w:lastRenderedPageBreak/>
              <w:t>groupe</w:t>
            </w:r>
          </w:p>
          <w:p w14:paraId="290C4B05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Découpage et chiffrage des user stories</w:t>
            </w:r>
          </w:p>
          <w:p w14:paraId="57A6CB8B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Intégration des maquettes WEB fournies par les métiers</w:t>
            </w:r>
          </w:p>
          <w:p w14:paraId="34DB6D56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0FE4DEA" w14:textId="77777777" w:rsidR="00C43537" w:rsidRDefault="005A7D5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Méthode agile (Scrum),  Rational Application Developer,  WebSphere (8.5),  SVN,  Maven,  S</w:t>
            </w:r>
            <w:r>
              <w:t>truts,  Spring CORE,  Hibernate,  SQL,  Java (6)</w:t>
            </w:r>
          </w:p>
          <w:p w14:paraId="16FFE366" w14:textId="77777777" w:rsidR="00C43537" w:rsidRPr="00702E48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702E48">
              <w:rPr>
                <w:b/>
                <w:color w:val="002060"/>
              </w:rPr>
              <w:t>Projet : Simulateur de crédit</w:t>
            </w:r>
          </w:p>
          <w:p w14:paraId="71C38E47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d’un simulateur de crédit habitat pour les agences bancaires.</w:t>
            </w:r>
          </w:p>
          <w:p w14:paraId="76362BE8" w14:textId="77777777" w:rsidR="00C43537" w:rsidRDefault="005A7D5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73F55B3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des maquettes émises par les métiers</w:t>
            </w:r>
          </w:p>
          <w:p w14:paraId="73C77596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des règles de gestion spécif</w:t>
            </w:r>
            <w:r>
              <w:rPr>
                <w:color w:val="000000"/>
                <w:sz w:val="21"/>
                <w:szCs w:val="21"/>
              </w:rPr>
              <w:t>iques au simulateur</w:t>
            </w:r>
          </w:p>
          <w:p w14:paraId="45F6F939" w14:textId="77777777" w:rsidR="00C43537" w:rsidRDefault="005A7D5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à jour des anciennes maquettes des autres simulateurs déjà réalisés</w:t>
            </w:r>
          </w:p>
          <w:p w14:paraId="2EC3D1C1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952AEFC" w14:textId="77777777" w:rsidR="00C43537" w:rsidRDefault="005A7D5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Méthode agile (Scrum),  CSS,  HTML,  JavaScript</w:t>
            </w:r>
          </w:p>
        </w:tc>
      </w:tr>
    </w:tbl>
    <w:p w14:paraId="4959463F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88B8" w14:textId="77777777" w:rsidR="005A7D56" w:rsidRDefault="005A7D56">
      <w:pPr>
        <w:spacing w:after="0" w:line="240" w:lineRule="auto"/>
      </w:pPr>
      <w:r>
        <w:separator/>
      </w:r>
    </w:p>
  </w:endnote>
  <w:endnote w:type="continuationSeparator" w:id="0">
    <w:p w14:paraId="28C23164" w14:textId="77777777" w:rsidR="005A7D56" w:rsidRDefault="005A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5A7D5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5A7D5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5A7D5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5A7D5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ACEE" w14:textId="77777777" w:rsidR="005A7D56" w:rsidRDefault="005A7D56">
      <w:pPr>
        <w:spacing w:after="0" w:line="240" w:lineRule="auto"/>
      </w:pPr>
      <w:r>
        <w:separator/>
      </w:r>
    </w:p>
  </w:footnote>
  <w:footnote w:type="continuationSeparator" w:id="0">
    <w:p w14:paraId="1409EDC1" w14:textId="77777777" w:rsidR="005A7D56" w:rsidRDefault="005A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456C8B"/>
    <w:rsid w:val="005A7D56"/>
    <w:rsid w:val="00702E48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2025-07-15T11:16:00Z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