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75D43D87"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1F5EBC71"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950BA3">
        <w:rPr>
          <w:rFonts w:ascii="Malgun Gothic" w:eastAsia="Malgun Gothic" w:hAnsi="Malgun Gothic"/>
          <w:color w:val="808080" w:themeColor="background1" w:themeShade="80"/>
        </w:rPr>
        <w:t>20221101</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77777777" w:rsidR="00687A33" w:rsidRPr="00687A33" w:rsidRDefault="00687A33" w:rsidP="00687A3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3C0EDB41"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0FE1E36"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4FD9D00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720EE1FA"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40002590" w14:textId="77777777" w:rsidR="00687A33" w:rsidRPr="00687A33" w:rsidRDefault="00687A33" w:rsidP="00687A3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148A598D" w14:textId="0EE7E5B2" w:rsidR="00687A33" w:rsidRPr="00950BA3" w:rsidRDefault="00950BA3" w:rsidP="00687A33">
      <w:pPr>
        <w:pStyle w:val="Titre1"/>
        <w:shd w:val="clear" w:color="auto" w:fill="FFFFFF"/>
        <w:spacing w:after="105"/>
        <w:ind w:left="0"/>
        <w:textAlignment w:val="baseline"/>
        <w:rPr>
          <w:rFonts w:ascii="Malgun Gothic" w:eastAsia="Malgun Gothic" w:hAnsi="Malgun Gothic" w:cs="Arial"/>
          <w:b/>
          <w:bCs/>
          <w:sz w:val="22"/>
          <w:szCs w:val="22"/>
          <w:lang w:eastAsia="en-US"/>
        </w:rPr>
      </w:pPr>
      <w:r w:rsidRPr="00950BA3">
        <w:rPr>
          <w:rFonts w:ascii="Malgun Gothic" w:eastAsia="Malgun Gothic" w:hAnsi="Malgun Gothic" w:cs="Arial"/>
          <w:b/>
          <w:bCs/>
          <w:sz w:val="22"/>
          <w:szCs w:val="22"/>
          <w:lang w:eastAsia="en-US"/>
        </w:rPr>
        <w:t>ANBRY CONSULTING</w:t>
      </w:r>
    </w:p>
    <w:p w14:paraId="1A9A3311" w14:textId="37ED5235"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Société </w:t>
      </w:r>
      <w:r w:rsidR="00950BA3" w:rsidRPr="00950BA3">
        <w:rPr>
          <w:rFonts w:ascii="Malgun Gothic" w:eastAsia="Malgun Gothic" w:hAnsi="Malgun Gothic"/>
          <w:sz w:val="22"/>
          <w:szCs w:val="22"/>
        </w:rPr>
        <w:t>à responsabilité limitée au capital de 1 000 euros</w:t>
      </w:r>
    </w:p>
    <w:p w14:paraId="28A5D989" w14:textId="38A4503F"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Ayant son Siège Social </w:t>
      </w:r>
      <w:r w:rsidR="00950BA3" w:rsidRPr="00950BA3">
        <w:rPr>
          <w:rFonts w:ascii="Malgun Gothic" w:eastAsia="Malgun Gothic" w:hAnsi="Malgun Gothic"/>
          <w:sz w:val="22"/>
          <w:szCs w:val="22"/>
        </w:rPr>
        <w:t xml:space="preserve">107 av de la </w:t>
      </w:r>
      <w:r w:rsidR="008E479B">
        <w:rPr>
          <w:rFonts w:ascii="Malgun Gothic" w:eastAsia="Malgun Gothic" w:hAnsi="Malgun Gothic"/>
          <w:sz w:val="22"/>
          <w:szCs w:val="22"/>
        </w:rPr>
        <w:t>M</w:t>
      </w:r>
      <w:r w:rsidR="00950BA3" w:rsidRPr="00950BA3">
        <w:rPr>
          <w:rFonts w:ascii="Malgun Gothic" w:eastAsia="Malgun Gothic" w:hAnsi="Malgun Gothic"/>
          <w:sz w:val="22"/>
          <w:szCs w:val="22"/>
        </w:rPr>
        <w:t>ar</w:t>
      </w:r>
      <w:r w:rsidR="008E479B">
        <w:rPr>
          <w:rFonts w:ascii="Malgun Gothic" w:eastAsia="Malgun Gothic" w:hAnsi="Malgun Gothic"/>
          <w:sz w:val="22"/>
          <w:szCs w:val="22"/>
        </w:rPr>
        <w:t>é</w:t>
      </w:r>
      <w:r w:rsidR="00950BA3" w:rsidRPr="00950BA3">
        <w:rPr>
          <w:rFonts w:ascii="Malgun Gothic" w:eastAsia="Malgun Gothic" w:hAnsi="Malgun Gothic"/>
          <w:sz w:val="22"/>
          <w:szCs w:val="22"/>
        </w:rPr>
        <w:t>chale 94420 LE PLESSIS-TREVISE</w:t>
      </w:r>
      <w:r w:rsidRPr="00950BA3">
        <w:rPr>
          <w:rFonts w:ascii="Malgun Gothic" w:eastAsia="Malgun Gothic" w:hAnsi="Malgun Gothic"/>
          <w:sz w:val="22"/>
          <w:szCs w:val="22"/>
        </w:rPr>
        <w:t>,</w:t>
      </w:r>
    </w:p>
    <w:p w14:paraId="7D9725BF" w14:textId="3AA953B9"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Immatriculée sous le numéro </w:t>
      </w:r>
      <w:r w:rsidR="00950BA3" w:rsidRPr="00950BA3">
        <w:rPr>
          <w:rFonts w:ascii="Malgun Gothic" w:eastAsia="Malgun Gothic" w:hAnsi="Malgun Gothic"/>
          <w:sz w:val="22"/>
          <w:szCs w:val="22"/>
        </w:rPr>
        <w:t>789 804 218</w:t>
      </w:r>
      <w:r w:rsidRPr="00950BA3">
        <w:rPr>
          <w:rFonts w:ascii="Malgun Gothic" w:eastAsia="Malgun Gothic" w:hAnsi="Malgun Gothic"/>
          <w:sz w:val="22"/>
          <w:szCs w:val="22"/>
        </w:rPr>
        <w:t xml:space="preserve"> RC </w:t>
      </w:r>
      <w:r w:rsidR="00950BA3" w:rsidRPr="00950BA3">
        <w:rPr>
          <w:rFonts w:ascii="Malgun Gothic" w:eastAsia="Malgun Gothic" w:hAnsi="Malgun Gothic"/>
          <w:sz w:val="22"/>
          <w:szCs w:val="22"/>
        </w:rPr>
        <w:t>Cr</w:t>
      </w:r>
      <w:r w:rsidR="008E479B">
        <w:rPr>
          <w:rFonts w:ascii="Malgun Gothic" w:eastAsia="Malgun Gothic" w:hAnsi="Malgun Gothic"/>
          <w:sz w:val="22"/>
          <w:szCs w:val="22"/>
        </w:rPr>
        <w:t>é</w:t>
      </w:r>
      <w:r w:rsidR="00950BA3" w:rsidRPr="00950BA3">
        <w:rPr>
          <w:rFonts w:ascii="Malgun Gothic" w:eastAsia="Malgun Gothic" w:hAnsi="Malgun Gothic"/>
          <w:sz w:val="22"/>
          <w:szCs w:val="22"/>
        </w:rPr>
        <w:t>teil</w:t>
      </w:r>
      <w:r w:rsidRPr="00950BA3">
        <w:rPr>
          <w:rFonts w:ascii="Malgun Gothic" w:eastAsia="Malgun Gothic" w:hAnsi="Malgun Gothic"/>
          <w:sz w:val="22"/>
          <w:szCs w:val="22"/>
        </w:rPr>
        <w:t>,</w:t>
      </w:r>
    </w:p>
    <w:p w14:paraId="2A900D72" w14:textId="0CFDBDCC" w:rsidR="00687A33" w:rsidRPr="00950BA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Représenté</w:t>
      </w:r>
      <w:r w:rsidR="008E479B">
        <w:rPr>
          <w:rFonts w:ascii="Malgun Gothic" w:eastAsia="Malgun Gothic" w:hAnsi="Malgun Gothic"/>
          <w:sz w:val="22"/>
          <w:szCs w:val="22"/>
        </w:rPr>
        <w:t>e</w:t>
      </w:r>
      <w:r w:rsidRPr="00950BA3">
        <w:rPr>
          <w:rFonts w:ascii="Malgun Gothic" w:eastAsia="Malgun Gothic" w:hAnsi="Malgun Gothic"/>
          <w:sz w:val="22"/>
          <w:szCs w:val="22"/>
        </w:rPr>
        <w:t xml:space="preserve"> par Monsieur </w:t>
      </w:r>
      <w:r w:rsidR="00950BA3" w:rsidRPr="00950BA3">
        <w:rPr>
          <w:rFonts w:ascii="Malgun Gothic" w:eastAsia="Malgun Gothic" w:hAnsi="Malgun Gothic"/>
          <w:sz w:val="22"/>
          <w:szCs w:val="22"/>
        </w:rPr>
        <w:t>Hicham ANBRY</w:t>
      </w:r>
      <w:r w:rsidRPr="00950BA3">
        <w:rPr>
          <w:rFonts w:ascii="Malgun Gothic" w:eastAsia="Malgun Gothic" w:hAnsi="Malgun Gothic"/>
          <w:sz w:val="22"/>
          <w:szCs w:val="22"/>
        </w:rPr>
        <w:t>,</w:t>
      </w:r>
    </w:p>
    <w:p w14:paraId="73608808" w14:textId="1183AAFC" w:rsidR="00687A33" w:rsidRPr="00687A33" w:rsidRDefault="00687A33" w:rsidP="00687A33">
      <w:pPr>
        <w:spacing w:line="288" w:lineRule="auto"/>
        <w:rPr>
          <w:rFonts w:ascii="Malgun Gothic" w:eastAsia="Malgun Gothic" w:hAnsi="Malgun Gothic"/>
          <w:sz w:val="22"/>
          <w:szCs w:val="22"/>
        </w:rPr>
      </w:pPr>
      <w:r w:rsidRPr="00950BA3">
        <w:rPr>
          <w:rFonts w:ascii="Malgun Gothic" w:eastAsia="Malgun Gothic" w:hAnsi="Malgun Gothic"/>
          <w:sz w:val="22"/>
          <w:szCs w:val="22"/>
        </w:rPr>
        <w:t xml:space="preserve">Agissant en qualité de </w:t>
      </w:r>
      <w:r w:rsidR="00950BA3" w:rsidRPr="00950BA3">
        <w:rPr>
          <w:rFonts w:ascii="Malgun Gothic" w:eastAsia="Malgun Gothic" w:hAnsi="Malgun Gothic"/>
          <w:sz w:val="22"/>
          <w:szCs w:val="22"/>
        </w:rPr>
        <w:t>Gérant</w:t>
      </w:r>
      <w:r w:rsidRPr="00950BA3">
        <w:rPr>
          <w:rFonts w:ascii="Malgun Gothic" w:eastAsia="Malgun Gothic" w:hAnsi="Malgun Gothic"/>
          <w:sz w:val="22"/>
          <w:szCs w:val="22"/>
        </w:rPr>
        <w:t>,</w:t>
      </w:r>
    </w:p>
    <w:p w14:paraId="106524F3" w14:textId="77777777" w:rsidR="00D35AB0" w:rsidRPr="00687A33" w:rsidRDefault="00D35AB0" w:rsidP="00D35AB0">
      <w:pPr>
        <w:spacing w:line="288" w:lineRule="auto"/>
        <w:rPr>
          <w:rFonts w:ascii="Malgun Gothic" w:eastAsia="Malgun Gothic" w:hAnsi="Malgun Gothic"/>
          <w:sz w:val="22"/>
          <w:szCs w:val="22"/>
        </w:rPr>
      </w:pP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lastRenderedPageBreak/>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316FEB2A" w14:textId="3001EA0B"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21C0B2E" w:rsidR="00D35AB0"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8E5C9B1" w14:textId="77777777" w:rsidR="00FD0495" w:rsidRPr="00687A33" w:rsidRDefault="00FD0495" w:rsidP="007878D1">
      <w:pPr>
        <w:spacing w:line="288" w:lineRule="auto"/>
        <w:ind w:left="7" w:right="560"/>
        <w:rPr>
          <w:rFonts w:ascii="Malgun Gothic" w:eastAsia="Malgun Gothic" w:hAnsi="Malgun Gothic"/>
          <w:sz w:val="22"/>
          <w:szCs w:val="22"/>
        </w:rPr>
      </w:pPr>
    </w:p>
    <w:p w14:paraId="14E83F56" w14:textId="77777777" w:rsidR="00D35AB0" w:rsidRPr="00687A33" w:rsidRDefault="00D35AB0" w:rsidP="00D35AB0">
      <w:pPr>
        <w:spacing w:line="20" w:lineRule="exact"/>
        <w:rPr>
          <w:rFonts w:ascii="Malgun Gothic" w:eastAsia="Malgun Gothic" w:hAnsi="Malgun Gothic"/>
          <w:sz w:val="22"/>
          <w:szCs w:val="22"/>
        </w:rPr>
      </w:pP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4B846CA2" w14:textId="77D56F4E" w:rsidR="00D35AB0" w:rsidRPr="00FD0495" w:rsidRDefault="00D35AB0" w:rsidP="00FD0495">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Article 4: Obligations générales du PRESTATAIRE</w:t>
      </w: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370938D1" w14:textId="74E97BDE" w:rsidR="00FD0495" w:rsidRDefault="00D35AB0" w:rsidP="00FD0495">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3C41D834" w14:textId="451013BD" w:rsidR="00FD0495" w:rsidRDefault="00FD0495" w:rsidP="00FD0495">
      <w:pPr>
        <w:spacing w:line="288" w:lineRule="auto"/>
        <w:ind w:left="7" w:right="220"/>
        <w:rPr>
          <w:rFonts w:ascii="Malgun Gothic" w:eastAsia="Malgun Gothic" w:hAnsi="Malgun Gothic"/>
          <w:sz w:val="22"/>
          <w:szCs w:val="22"/>
        </w:rPr>
      </w:pPr>
    </w:p>
    <w:p w14:paraId="14D21321" w14:textId="77777777" w:rsidR="00FD0495" w:rsidRPr="00687A33" w:rsidRDefault="00FD0495" w:rsidP="00FD0495">
      <w:pPr>
        <w:spacing w:line="288" w:lineRule="auto"/>
        <w:ind w:left="7" w:right="220"/>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lastRenderedPageBreak/>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26E1BBCA" w:rsidR="00B81E6F" w:rsidRPr="00687A33"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13FD6238" w14:textId="4DFABAEC" w:rsidR="00B81E6F" w:rsidRDefault="00D35AB0" w:rsidP="00FD0495">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lastRenderedPageBreak/>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lastRenderedPageBreak/>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3A6FCD47"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lastRenderedPageBreak/>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B1A1ECB"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737A9F">
        <w:rPr>
          <w:rFonts w:ascii="Malgun Gothic" w:eastAsia="Malgun Gothic" w:hAnsi="Malgun Gothic"/>
          <w:sz w:val="22"/>
          <w:szCs w:val="22"/>
        </w:rPr>
        <w:t>08/11/2022</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3B45F37B" w14:textId="2255EAFD"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0373AF96" w14:textId="6703C4CC"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4F7C5A7B" w14:textId="04CF5CD7" w:rsidR="004D384E" w:rsidRPr="004D384E" w:rsidRDefault="00737A9F" w:rsidP="006329A7">
            <w:pPr>
              <w:spacing w:line="288" w:lineRule="auto"/>
              <w:rPr>
                <w:rFonts w:ascii="Malgun Gothic" w:eastAsia="Malgun Gothic" w:hAnsi="Malgun Gothic"/>
                <w:bCs/>
                <w:sz w:val="22"/>
                <w:szCs w:val="22"/>
                <w:highlight w:val="yellow"/>
              </w:rPr>
            </w:pPr>
            <w:r w:rsidRPr="00737A9F">
              <w:rPr>
                <w:rFonts w:ascii="Malgun Gothic" w:eastAsia="Malgun Gothic" w:hAnsi="Malgun Gothic"/>
                <w:bCs/>
                <w:sz w:val="22"/>
                <w:szCs w:val="22"/>
              </w:rPr>
              <w:t>Hicham ANBRY</w:t>
            </w:r>
          </w:p>
          <w:p w14:paraId="3FA901F5" w14:textId="0B37D80E" w:rsidR="004D384E" w:rsidRDefault="00737A9F"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Pr="00FD0495" w:rsidRDefault="004D384E" w:rsidP="00D35AB0">
      <w:pPr>
        <w:spacing w:line="0" w:lineRule="atLeast"/>
        <w:rPr>
          <w:rFonts w:ascii="Malgun Gothic" w:eastAsia="Malgun Gothic" w:hAnsi="Malgun Gothic"/>
          <w:iCs/>
          <w:sz w:val="18"/>
          <w:szCs w:val="18"/>
        </w:rPr>
      </w:pPr>
    </w:p>
    <w:p w14:paraId="270EEE9F" w14:textId="02E51F42" w:rsidR="004D384E" w:rsidRPr="00FD0495" w:rsidRDefault="004D384E" w:rsidP="00D35AB0">
      <w:pPr>
        <w:spacing w:line="0" w:lineRule="atLeast"/>
        <w:rPr>
          <w:rFonts w:ascii="Malgun Gothic" w:eastAsia="Malgun Gothic" w:hAnsi="Malgun Gothic"/>
          <w:iCs/>
          <w:sz w:val="18"/>
          <w:szCs w:val="18"/>
        </w:rPr>
      </w:pPr>
    </w:p>
    <w:p w14:paraId="2AECE41F" w14:textId="5CF83521" w:rsidR="004D384E" w:rsidRPr="00FD0495" w:rsidRDefault="004D384E"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7594D66F" w14:textId="69F34793" w:rsidR="004D384E" w:rsidRPr="00FD0495" w:rsidRDefault="004D384E" w:rsidP="00D35AB0">
      <w:pPr>
        <w:spacing w:line="0" w:lineRule="atLeast"/>
        <w:rPr>
          <w:rFonts w:ascii="Malgun Gothic" w:eastAsia="Malgun Gothic" w:hAnsi="Malgun Gothic"/>
          <w:iCs/>
          <w:sz w:val="18"/>
          <w:szCs w:val="18"/>
        </w:rPr>
      </w:pPr>
    </w:p>
    <w:p w14:paraId="350DB7EE" w14:textId="6A560405" w:rsidR="004D384E" w:rsidRPr="00FD0495" w:rsidRDefault="004D384E" w:rsidP="00D35AB0">
      <w:pPr>
        <w:spacing w:line="0" w:lineRule="atLeast"/>
        <w:rPr>
          <w:rFonts w:ascii="Malgun Gothic" w:eastAsia="Malgun Gothic" w:hAnsi="Malgun Gothic"/>
          <w:iCs/>
          <w:sz w:val="18"/>
          <w:szCs w:val="18"/>
        </w:rPr>
      </w:pPr>
    </w:p>
    <w:p w14:paraId="00E51680" w14:textId="6F9CE871" w:rsidR="004D384E" w:rsidRPr="00FD0495" w:rsidRDefault="004D384E" w:rsidP="00D35AB0">
      <w:pPr>
        <w:spacing w:line="0" w:lineRule="atLeast"/>
        <w:rPr>
          <w:rFonts w:ascii="Malgun Gothic" w:eastAsia="Malgun Gothic" w:hAnsi="Malgun Gothic"/>
          <w:iCs/>
          <w:sz w:val="18"/>
          <w:szCs w:val="18"/>
        </w:rPr>
      </w:pPr>
    </w:p>
    <w:p w14:paraId="718E1CE0" w14:textId="73F6C36B" w:rsidR="004D384E" w:rsidRPr="00FD0495" w:rsidRDefault="004D384E" w:rsidP="00D35AB0">
      <w:pPr>
        <w:spacing w:line="0" w:lineRule="atLeast"/>
        <w:rPr>
          <w:rFonts w:ascii="Malgun Gothic" w:eastAsia="Malgun Gothic" w:hAnsi="Malgun Gothic"/>
          <w:iCs/>
          <w:sz w:val="18"/>
          <w:szCs w:val="18"/>
        </w:rPr>
      </w:pPr>
    </w:p>
    <w:p w14:paraId="5CB3DE6C" w14:textId="7B68CD7E" w:rsidR="004D384E" w:rsidRPr="00FD0495" w:rsidRDefault="004D384E" w:rsidP="00D35AB0">
      <w:pPr>
        <w:spacing w:line="0" w:lineRule="atLeast"/>
        <w:rPr>
          <w:rFonts w:ascii="Malgun Gothic" w:eastAsia="Malgun Gothic" w:hAnsi="Malgun Gothic"/>
          <w:iCs/>
          <w:sz w:val="18"/>
          <w:szCs w:val="18"/>
        </w:rPr>
      </w:pPr>
    </w:p>
    <w:p w14:paraId="7EA04910" w14:textId="661FF966" w:rsidR="004D384E" w:rsidRPr="00FD0495" w:rsidRDefault="004D384E" w:rsidP="00D35AB0">
      <w:pPr>
        <w:spacing w:line="0" w:lineRule="atLeast"/>
        <w:rPr>
          <w:rFonts w:ascii="Malgun Gothic" w:eastAsia="Malgun Gothic" w:hAnsi="Malgun Gothic"/>
          <w:iCs/>
          <w:sz w:val="18"/>
          <w:szCs w:val="18"/>
        </w:rPr>
      </w:pPr>
    </w:p>
    <w:p w14:paraId="73AFB15E" w14:textId="363451E5" w:rsidR="004D384E" w:rsidRPr="00FD0495" w:rsidRDefault="004D384E" w:rsidP="00D35AB0">
      <w:pPr>
        <w:spacing w:line="0" w:lineRule="atLeast"/>
        <w:rPr>
          <w:rFonts w:ascii="Malgun Gothic" w:eastAsia="Malgun Gothic" w:hAnsi="Malgun Gothic"/>
          <w:iCs/>
          <w:sz w:val="18"/>
          <w:szCs w:val="18"/>
        </w:rPr>
      </w:pPr>
    </w:p>
    <w:p w14:paraId="4A1750E5" w14:textId="77777777" w:rsidR="004D384E" w:rsidRPr="00FD0495" w:rsidRDefault="004D384E" w:rsidP="00D35AB0">
      <w:pPr>
        <w:spacing w:line="0" w:lineRule="atLeast"/>
        <w:rPr>
          <w:rFonts w:ascii="Malgun Gothic" w:eastAsia="Malgun Gothic" w:hAnsi="Malgun Gothic"/>
          <w:iCs/>
          <w:sz w:val="18"/>
          <w:szCs w:val="18"/>
        </w:rPr>
      </w:pPr>
    </w:p>
    <w:p w14:paraId="2BE81400" w14:textId="77777777" w:rsidR="004D384E" w:rsidRPr="00FD0495"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6B56486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2AEF9137"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950BA3" w:rsidRPr="007878D1">
        <w:rPr>
          <w:rFonts w:ascii="Malgun Gothic" w:eastAsia="Malgun Gothic" w:hAnsi="Malgun Gothic"/>
          <w:color w:val="808080" w:themeColor="background1" w:themeShade="80"/>
        </w:rPr>
        <w:t>CST</w:t>
      </w:r>
      <w:r w:rsidR="00950BA3">
        <w:rPr>
          <w:rFonts w:ascii="Malgun Gothic" w:eastAsia="Malgun Gothic" w:hAnsi="Malgun Gothic"/>
          <w:color w:val="808080" w:themeColor="background1" w:themeShade="80"/>
        </w:rPr>
        <w:t>20221101</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5998DB0F" w14:textId="77777777" w:rsidR="00B81E6F" w:rsidRDefault="00B81E6F" w:rsidP="00B81E6F">
      <w:pPr>
        <w:spacing w:line="212" w:lineRule="exact"/>
        <w:rPr>
          <w:rFonts w:ascii="Malgun Gothic" w:eastAsia="Malgun Gothic" w:hAnsi="Malgun Gothic"/>
          <w:b/>
          <w:sz w:val="22"/>
          <w:szCs w:val="22"/>
        </w:rPr>
      </w:pPr>
    </w:p>
    <w:p w14:paraId="23BECE64" w14:textId="67B2E048" w:rsidR="00D35AB0" w:rsidRDefault="00950BA3" w:rsidP="00D35AB0">
      <w:pPr>
        <w:spacing w:line="288" w:lineRule="auto"/>
        <w:rPr>
          <w:rFonts w:ascii="Malgun Gothic" w:eastAsia="Malgun Gothic" w:hAnsi="Malgun Gothic"/>
          <w:sz w:val="22"/>
          <w:szCs w:val="22"/>
        </w:rPr>
      </w:pPr>
      <w:r>
        <w:rPr>
          <w:rFonts w:ascii="Malgun Gothic" w:eastAsia="Malgun Gothic" w:hAnsi="Malgun Gothic"/>
          <w:sz w:val="22"/>
          <w:szCs w:val="22"/>
        </w:rPr>
        <w:t>LEAD TECHNIQUE .NET</w:t>
      </w:r>
    </w:p>
    <w:p w14:paraId="1A90F9B4" w14:textId="77777777" w:rsidR="00B81E6F" w:rsidRPr="00687A33" w:rsidRDefault="00B81E6F" w:rsidP="00B81E6F">
      <w:pPr>
        <w:spacing w:line="212" w:lineRule="exact"/>
        <w:rPr>
          <w:rFonts w:ascii="Malgun Gothic" w:eastAsia="Malgun Gothic" w:hAnsi="Malgun Gothic"/>
          <w:sz w:val="22"/>
          <w:szCs w:val="22"/>
        </w:rPr>
      </w:pP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27C45F39"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950BA3">
        <w:rPr>
          <w:rFonts w:ascii="Malgun Gothic" w:eastAsia="Malgun Gothic" w:hAnsi="Malgun Gothic"/>
          <w:b/>
          <w:sz w:val="22"/>
          <w:szCs w:val="22"/>
        </w:rPr>
        <w:t>250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950BA3">
        <w:rPr>
          <w:rFonts w:ascii="Malgun Gothic" w:eastAsia="Malgun Gothic" w:hAnsi="Malgun Gothic"/>
          <w:b/>
          <w:sz w:val="22"/>
          <w:szCs w:val="22"/>
        </w:rPr>
        <w:t>Deux cent cinquante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49F7E02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950BA3">
        <w:rPr>
          <w:rFonts w:ascii="Malgun Gothic" w:eastAsia="Malgun Gothic" w:hAnsi="Malgun Gothic"/>
          <w:sz w:val="22"/>
          <w:szCs w:val="22"/>
        </w:rPr>
        <w:t>14/11/2022</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61FE66F3"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950BA3">
        <w:rPr>
          <w:rFonts w:ascii="Malgun Gothic" w:eastAsia="Malgun Gothic" w:hAnsi="Malgun Gothic"/>
          <w:sz w:val="22"/>
          <w:szCs w:val="22"/>
        </w:rPr>
        <w:t>30/06/2023</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7D0272E3" w:rsidR="00D35AB0" w:rsidRPr="00687A33" w:rsidRDefault="00156F1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R</w:t>
      </w:r>
      <w:r w:rsidR="00D35AB0" w:rsidRPr="00950BA3">
        <w:rPr>
          <w:rFonts w:ascii="Malgun Gothic" w:eastAsia="Malgun Gothic" w:hAnsi="Malgun Gothic"/>
          <w:sz w:val="22"/>
          <w:szCs w:val="22"/>
        </w:rPr>
        <w:t>enouvelable par avenant</w:t>
      </w:r>
      <w:r w:rsidR="00950BA3" w:rsidRPr="00950B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EF493B6" w14:textId="77777777" w:rsidR="00D35AB0" w:rsidRPr="00687A33" w:rsidRDefault="00D35AB0" w:rsidP="00B81E6F">
      <w:pPr>
        <w:spacing w:line="212" w:lineRule="exact"/>
        <w:rPr>
          <w:rFonts w:ascii="Malgun Gothic" w:eastAsia="Malgun Gothic" w:hAnsi="Malgun Gothic"/>
          <w:b/>
          <w:sz w:val="22"/>
          <w:szCs w:val="22"/>
        </w:rPr>
      </w:pPr>
    </w:p>
    <w:p w14:paraId="17D398CB" w14:textId="00CFDD33" w:rsidR="00D35AB0" w:rsidRPr="00687A33" w:rsidRDefault="00950BA3" w:rsidP="00D35AB0">
      <w:pPr>
        <w:spacing w:line="288" w:lineRule="auto"/>
        <w:rPr>
          <w:rFonts w:ascii="Malgun Gothic" w:eastAsia="Malgun Gothic" w:hAnsi="Malgun Gothic"/>
          <w:sz w:val="22"/>
          <w:szCs w:val="22"/>
        </w:rPr>
      </w:pPr>
      <w:r>
        <w:rPr>
          <w:rFonts w:ascii="Malgun Gothic" w:eastAsia="Malgun Gothic" w:hAnsi="Malgun Gothic"/>
          <w:sz w:val="22"/>
          <w:szCs w:val="22"/>
        </w:rPr>
        <w:t>REMOTE</w:t>
      </w:r>
    </w:p>
    <w:p w14:paraId="2B9957E6" w14:textId="77777777" w:rsidR="00D35AB0" w:rsidRPr="00687A33" w:rsidRDefault="00D35AB0"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61BCAA14"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950BA3">
        <w:rPr>
          <w:rFonts w:ascii="Malgun Gothic" w:eastAsia="Malgun Gothic" w:hAnsi="Malgun Gothic"/>
          <w:sz w:val="22"/>
          <w:szCs w:val="22"/>
        </w:rPr>
        <w:t>Hicham ANBRY</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201D778A"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 xml:space="preserve">Le PRESTATAIRE s’engage à transmettre son relève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43AF9DCC" w14:textId="678FD00A" w:rsidR="008D0A69" w:rsidRDefault="00D35AB0" w:rsidP="00FD0495">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r w:rsidRPr="00687A33">
        <w:rPr>
          <w:rFonts w:ascii="Malgun Gothic" w:eastAsia="Malgun Gothic" w:hAnsi="Malgun Gothic"/>
          <w:sz w:val="22"/>
          <w:szCs w:val="22"/>
        </w:rPr>
        <w:tab/>
      </w:r>
      <w:bookmarkStart w:id="9" w:name="page12"/>
      <w:bookmarkEnd w:id="9"/>
    </w:p>
    <w:p w14:paraId="132D0772" w14:textId="418364E6" w:rsidR="00156F1D" w:rsidRDefault="00156F1D" w:rsidP="00FD0495">
      <w:pPr>
        <w:tabs>
          <w:tab w:val="left" w:pos="639"/>
        </w:tabs>
        <w:rPr>
          <w:rFonts w:ascii="Malgun Gothic" w:eastAsia="Malgun Gothic" w:hAnsi="Malgun Gothic"/>
          <w:sz w:val="22"/>
          <w:szCs w:val="22"/>
        </w:rPr>
      </w:pPr>
    </w:p>
    <w:p w14:paraId="68C2A624" w14:textId="77777777" w:rsidR="00156F1D" w:rsidRDefault="00156F1D" w:rsidP="00156F1D">
      <w:pPr>
        <w:spacing w:line="212" w:lineRule="exact"/>
        <w:rPr>
          <w:rFonts w:ascii="Malgun Gothic" w:eastAsia="Malgun Gothic" w:hAnsi="Malgun Gothic"/>
          <w:sz w:val="22"/>
          <w:szCs w:val="22"/>
        </w:rPr>
      </w:pPr>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lastRenderedPageBreak/>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7FF28519"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8D0A69">
        <w:rPr>
          <w:rFonts w:ascii="Malgun Gothic" w:eastAsia="Malgun Gothic" w:hAnsi="Malgun Gothic"/>
          <w:sz w:val="22"/>
          <w:szCs w:val="22"/>
        </w:rPr>
        <w:t>60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7BD73D4E" w14:textId="290B3984" w:rsidR="00D35AB0"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HIGHSKILL</w:t>
      </w:r>
    </w:p>
    <w:p w14:paraId="2EAA464F" w14:textId="0752FC46" w:rsidR="008D0A69"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 xml:space="preserve">66 av des Champs Elysées </w:t>
      </w:r>
    </w:p>
    <w:p w14:paraId="15A4CED1" w14:textId="0AAB83B6" w:rsidR="008D0A69" w:rsidRPr="00687A33" w:rsidRDefault="008D0A69" w:rsidP="00D35AB0">
      <w:pPr>
        <w:spacing w:line="288" w:lineRule="auto"/>
        <w:rPr>
          <w:rFonts w:ascii="Malgun Gothic" w:eastAsia="Malgun Gothic" w:hAnsi="Malgun Gothic"/>
          <w:sz w:val="22"/>
          <w:szCs w:val="22"/>
        </w:rPr>
      </w:pPr>
      <w:r>
        <w:rPr>
          <w:rFonts w:ascii="Malgun Gothic" w:eastAsia="Malgun Gothic" w:hAnsi="Malgun Gothic"/>
          <w:sz w:val="22"/>
          <w:szCs w:val="22"/>
        </w:rPr>
        <w:t>75008 PARIS</w:t>
      </w:r>
    </w:p>
    <w:p w14:paraId="0B57E215" w14:textId="7580F0C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8D0A69" w:rsidRPr="008D0A69">
        <w:rPr>
          <w:rFonts w:ascii="Malgun Gothic" w:eastAsia="Malgun Gothic" w:hAnsi="Malgun Gothic"/>
          <w:color w:val="0000FF"/>
          <w:sz w:val="22"/>
          <w:szCs w:val="22"/>
          <w:u w:val="single"/>
        </w:rPr>
        <w:t>facturation@highskill.fr</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4FC92137"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950BA3">
        <w:rPr>
          <w:rFonts w:ascii="Malgun Gothic" w:eastAsia="Malgun Gothic" w:hAnsi="Malgun Gothic"/>
          <w:sz w:val="22"/>
          <w:szCs w:val="22"/>
        </w:rPr>
        <w:t>08/11/2022</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96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17"/>
        <w:gridCol w:w="5132"/>
      </w:tblGrid>
      <w:tr w:rsidR="008D0A69" w14:paraId="43266252" w14:textId="77777777" w:rsidTr="008D0A69">
        <w:trPr>
          <w:trHeight w:val="840"/>
        </w:trPr>
        <w:tc>
          <w:tcPr>
            <w:tcW w:w="4517" w:type="dxa"/>
          </w:tcPr>
          <w:p w14:paraId="50CDA85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5132" w:type="dxa"/>
          </w:tcPr>
          <w:p w14:paraId="7CBEEA10" w14:textId="77777777" w:rsidR="008D0A69" w:rsidRDefault="008D0A69" w:rsidP="006329A7">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8D0A69" w14:paraId="6767A7CD" w14:textId="77777777" w:rsidTr="008D0A69">
        <w:trPr>
          <w:trHeight w:val="2373"/>
        </w:trPr>
        <w:tc>
          <w:tcPr>
            <w:tcW w:w="4517" w:type="dxa"/>
          </w:tcPr>
          <w:p w14:paraId="3296BD08"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5BDE9C31" w14:textId="77777777" w:rsidR="008D0A69" w:rsidRPr="004D384E" w:rsidRDefault="008D0A69"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p>
          <w:p w14:paraId="061AFE2A" w14:textId="77777777" w:rsidR="008D0A69" w:rsidRDefault="008D0A69" w:rsidP="006329A7">
            <w:pPr>
              <w:spacing w:line="288" w:lineRule="auto"/>
              <w:rPr>
                <w:rFonts w:ascii="Malgun Gothic" w:eastAsia="Malgun Gothic" w:hAnsi="Malgun Gothic"/>
                <w:b/>
                <w:sz w:val="22"/>
                <w:szCs w:val="22"/>
              </w:rPr>
            </w:pPr>
          </w:p>
        </w:tc>
        <w:tc>
          <w:tcPr>
            <w:tcW w:w="5132" w:type="dxa"/>
          </w:tcPr>
          <w:p w14:paraId="5495361F" w14:textId="37F24ED1" w:rsidR="008D0A69" w:rsidRPr="004D384E" w:rsidRDefault="00950BA3" w:rsidP="006329A7">
            <w:pPr>
              <w:spacing w:line="288" w:lineRule="auto"/>
              <w:rPr>
                <w:rFonts w:ascii="Malgun Gothic" w:eastAsia="Malgun Gothic" w:hAnsi="Malgun Gothic"/>
                <w:bCs/>
                <w:sz w:val="22"/>
                <w:szCs w:val="22"/>
                <w:highlight w:val="yellow"/>
              </w:rPr>
            </w:pPr>
            <w:r w:rsidRPr="00950BA3">
              <w:rPr>
                <w:rFonts w:ascii="Malgun Gothic" w:eastAsia="Malgun Gothic" w:hAnsi="Malgun Gothic"/>
                <w:bCs/>
                <w:sz w:val="22"/>
                <w:szCs w:val="22"/>
              </w:rPr>
              <w:t>Hicham ANBRY</w:t>
            </w:r>
          </w:p>
          <w:p w14:paraId="7B4A2B2F" w14:textId="7EF7BC29" w:rsidR="008D0A69" w:rsidRDefault="00950BA3" w:rsidP="006329A7">
            <w:pPr>
              <w:spacing w:line="288" w:lineRule="auto"/>
              <w:rPr>
                <w:rFonts w:ascii="Malgun Gothic" w:eastAsia="Malgun Gothic" w:hAnsi="Malgun Gothic"/>
                <w:b/>
                <w:sz w:val="22"/>
                <w:szCs w:val="22"/>
              </w:rPr>
            </w:pPr>
            <w:r>
              <w:rPr>
                <w:rFonts w:ascii="Malgun Gothic" w:eastAsia="Malgun Gothic" w:hAnsi="Malgun Gothic"/>
                <w:bCs/>
                <w:sz w:val="22"/>
                <w:szCs w:val="22"/>
              </w:rPr>
              <w:t>Gérant</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7777777" w:rsidR="008D0A69" w:rsidRDefault="008D0A69"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5C8446F5" w:rsidR="00EA76BD" w:rsidRDefault="00EA76BD" w:rsidP="003E5584">
      <w:pPr>
        <w:spacing w:line="0" w:lineRule="atLeast"/>
        <w:rPr>
          <w:rFonts w:ascii="Malgun Gothic" w:eastAsia="Malgun Gothic" w:hAnsi="Malgun Gothic"/>
          <w:i/>
          <w:sz w:val="18"/>
          <w:szCs w:val="18"/>
        </w:rPr>
      </w:pPr>
    </w:p>
    <w:p w14:paraId="3640ADD7" w14:textId="77777777" w:rsidR="00156F1D" w:rsidRDefault="00156F1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5129A" w14:textId="77777777" w:rsidR="006E6DE0" w:rsidRDefault="006E6DE0">
      <w:r>
        <w:separator/>
      </w:r>
    </w:p>
  </w:endnote>
  <w:endnote w:type="continuationSeparator" w:id="0">
    <w:p w14:paraId="00322042" w14:textId="77777777" w:rsidR="006E6DE0" w:rsidRDefault="006E6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39D067" w14:textId="77777777" w:rsidR="006E6DE0" w:rsidRDefault="006E6DE0">
      <w:r>
        <w:separator/>
      </w:r>
    </w:p>
  </w:footnote>
  <w:footnote w:type="continuationSeparator" w:id="0">
    <w:p w14:paraId="49DC7711" w14:textId="77777777" w:rsidR="006E6DE0" w:rsidRDefault="006E6D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304BE3">
    <w:pPr>
      <w:pStyle w:val="En-tte"/>
      <w:jc w:val="left"/>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608B"/>
    <w:rsid w:val="000F136C"/>
    <w:rsid w:val="000F7288"/>
    <w:rsid w:val="00101E59"/>
    <w:rsid w:val="00156F1D"/>
    <w:rsid w:val="001758F8"/>
    <w:rsid w:val="001846D1"/>
    <w:rsid w:val="001F6241"/>
    <w:rsid w:val="001F74C8"/>
    <w:rsid w:val="002A216D"/>
    <w:rsid w:val="002C24AA"/>
    <w:rsid w:val="002C7C6D"/>
    <w:rsid w:val="00304BE3"/>
    <w:rsid w:val="003714E7"/>
    <w:rsid w:val="00386441"/>
    <w:rsid w:val="003E5584"/>
    <w:rsid w:val="004135E2"/>
    <w:rsid w:val="00497A8F"/>
    <w:rsid w:val="004D384E"/>
    <w:rsid w:val="004E6CAB"/>
    <w:rsid w:val="004F1F36"/>
    <w:rsid w:val="004F2457"/>
    <w:rsid w:val="00500632"/>
    <w:rsid w:val="0056448E"/>
    <w:rsid w:val="00564F67"/>
    <w:rsid w:val="0056681F"/>
    <w:rsid w:val="005A3AC8"/>
    <w:rsid w:val="005D19F0"/>
    <w:rsid w:val="005D7D68"/>
    <w:rsid w:val="00631AAD"/>
    <w:rsid w:val="00661EC1"/>
    <w:rsid w:val="00663CE5"/>
    <w:rsid w:val="00667975"/>
    <w:rsid w:val="00670E80"/>
    <w:rsid w:val="00671235"/>
    <w:rsid w:val="00686902"/>
    <w:rsid w:val="00687A33"/>
    <w:rsid w:val="006A280F"/>
    <w:rsid w:val="006C187F"/>
    <w:rsid w:val="006D2778"/>
    <w:rsid w:val="006E6DE0"/>
    <w:rsid w:val="007239A4"/>
    <w:rsid w:val="007349A3"/>
    <w:rsid w:val="00737A9F"/>
    <w:rsid w:val="00740060"/>
    <w:rsid w:val="00740EA0"/>
    <w:rsid w:val="00765484"/>
    <w:rsid w:val="007878D1"/>
    <w:rsid w:val="008052F7"/>
    <w:rsid w:val="00867DFB"/>
    <w:rsid w:val="00894420"/>
    <w:rsid w:val="008A54CF"/>
    <w:rsid w:val="008A7641"/>
    <w:rsid w:val="008B5D40"/>
    <w:rsid w:val="008C10A9"/>
    <w:rsid w:val="008D0A69"/>
    <w:rsid w:val="008E479B"/>
    <w:rsid w:val="00903253"/>
    <w:rsid w:val="00913716"/>
    <w:rsid w:val="00950BA3"/>
    <w:rsid w:val="00953AE8"/>
    <w:rsid w:val="009603F8"/>
    <w:rsid w:val="00971937"/>
    <w:rsid w:val="009B4C68"/>
    <w:rsid w:val="009C02A8"/>
    <w:rsid w:val="009E26AD"/>
    <w:rsid w:val="009F3430"/>
    <w:rsid w:val="00A12FB1"/>
    <w:rsid w:val="00A259A2"/>
    <w:rsid w:val="00A4504C"/>
    <w:rsid w:val="00A46D12"/>
    <w:rsid w:val="00B43E78"/>
    <w:rsid w:val="00B81E6F"/>
    <w:rsid w:val="00C306FD"/>
    <w:rsid w:val="00C57CFD"/>
    <w:rsid w:val="00C77ED4"/>
    <w:rsid w:val="00C9573F"/>
    <w:rsid w:val="00CB65ED"/>
    <w:rsid w:val="00CC570C"/>
    <w:rsid w:val="00CE4895"/>
    <w:rsid w:val="00D20B85"/>
    <w:rsid w:val="00D273FD"/>
    <w:rsid w:val="00D35AB0"/>
    <w:rsid w:val="00D41E83"/>
    <w:rsid w:val="00D913AE"/>
    <w:rsid w:val="00DA6BE1"/>
    <w:rsid w:val="00DF4565"/>
    <w:rsid w:val="00E03C20"/>
    <w:rsid w:val="00E210A2"/>
    <w:rsid w:val="00E23362"/>
    <w:rsid w:val="00E53059"/>
    <w:rsid w:val="00E70B5F"/>
    <w:rsid w:val="00E73C4B"/>
    <w:rsid w:val="00EA76BD"/>
    <w:rsid w:val="00EE5BBA"/>
    <w:rsid w:val="00F06C62"/>
    <w:rsid w:val="00F726EC"/>
    <w:rsid w:val="00F806FB"/>
    <w:rsid w:val="00F9178A"/>
    <w:rsid w:val="00FB0344"/>
    <w:rsid w:val="00FD0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A6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3328</Words>
  <Characters>18310</Characters>
  <Application>Microsoft Office Word</Application>
  <DocSecurity>0</DocSecurity>
  <Lines>152</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10</cp:revision>
  <dcterms:created xsi:type="dcterms:W3CDTF">2022-11-08T11:06:00Z</dcterms:created>
  <dcterms:modified xsi:type="dcterms:W3CDTF">2022-11-08T13:10:00Z</dcterms:modified>
</cp:coreProperties>
</file>