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2E20F131" w:rsidR="009F3430" w:rsidRPr="00EE5BBA" w:rsidRDefault="00B853AA">
      <w:pPr>
        <w:rPr>
          <w:rFonts w:ascii="Malgun Gothic" w:eastAsia="Malgun Gothic" w:hAnsi="Malgun Gothic"/>
          <w:b/>
          <w:color w:val="7F7F7F" w:themeColor="text1" w:themeTint="80"/>
        </w:rPr>
      </w:pPr>
      <w:r w:rsidRPr="00C25E78">
        <w:rPr>
          <w:rFonts w:ascii="Malgun Gothic" w:eastAsia="Malgun Gothic" w:hAnsi="Malgun Gothic"/>
          <w:b/>
        </w:rPr>
        <w:t>ENTRE-LES</w:t>
      </w:r>
      <w:r w:rsidR="00386441" w:rsidRPr="00C25E78">
        <w:rPr>
          <w:rFonts w:ascii="Malgun Gothic" w:eastAsia="Malgun Gothic" w:hAnsi="Malgun Gothic"/>
          <w:b/>
        </w:rPr>
        <w:t xml:space="preserve"> SOUSSIGNES</w:t>
      </w:r>
    </w:p>
    <w:p w14:paraId="5F201D9F" w14:textId="77777777" w:rsidR="009F3430" w:rsidRPr="00EE5BBA" w:rsidRDefault="009F3430">
      <w:pPr>
        <w:rPr>
          <w:rFonts w:ascii="Malgun Gothic" w:eastAsia="Malgun Gothic" w:hAnsi="Malgun Gothic"/>
        </w:rPr>
      </w:pPr>
    </w:p>
    <w:p w14:paraId="73E6AB0B" w14:textId="44C5C237"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r w:rsidR="00B853AA" w:rsidRPr="00EE5BBA">
        <w:rPr>
          <w:rFonts w:ascii="Malgun Gothic" w:eastAsia="Malgun Gothic" w:hAnsi="Malgun Gothic"/>
        </w:rPr>
        <w:t>situé</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4EB0EEA1" w:rsidR="009F3430" w:rsidRPr="001758F8" w:rsidRDefault="00FE2024" w:rsidP="001758F8">
      <w:pPr>
        <w:rPr>
          <w:rFonts w:ascii="Malgun Gothic" w:eastAsia="Malgun Gothic" w:hAnsi="Malgun Gothic"/>
          <w:bCs/>
        </w:rPr>
      </w:pPr>
      <w:r w:rsidRPr="009F6F41">
        <w:rPr>
          <w:rFonts w:ascii="Malgun Gothic" w:eastAsia="Malgun Gothic" w:hAnsi="Malgun Gothic"/>
          <w:b/>
        </w:rPr>
        <w:t xml:space="preserve">Idris THABET </w:t>
      </w:r>
      <w:r w:rsidR="001758F8" w:rsidRPr="001758F8">
        <w:rPr>
          <w:rFonts w:ascii="Malgun Gothic" w:eastAsia="Malgun Gothic" w:hAnsi="Malgun Gothic"/>
          <w:bCs/>
        </w:rPr>
        <w:t>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9F6F41">
        <w:rPr>
          <w:rFonts w:ascii="Malgun Gothic" w:eastAsia="Malgun Gothic" w:hAnsi="Malgun Gothic"/>
          <w:bCs/>
        </w:rPr>
        <w:t xml:space="preserve">17/04/1987 à </w:t>
      </w:r>
      <w:r w:rsidR="00B853AA" w:rsidRPr="009F6F41">
        <w:rPr>
          <w:rFonts w:ascii="Malgun Gothic" w:eastAsia="Malgun Gothic" w:hAnsi="Malgun Gothic"/>
          <w:bCs/>
        </w:rPr>
        <w:t>Kébili</w:t>
      </w:r>
      <w:r w:rsidRPr="009F6F41">
        <w:rPr>
          <w:rFonts w:ascii="Malgun Gothic" w:eastAsia="Malgun Gothic" w:hAnsi="Malgun Gothic"/>
          <w:bCs/>
        </w:rPr>
        <w:t xml:space="preserve"> - 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sidRPr="009F6F41">
        <w:rPr>
          <w:rFonts w:ascii="Malgun Gothic" w:eastAsia="Malgun Gothic" w:hAnsi="Malgun Gothic"/>
          <w:bCs/>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proofErr w:type="gramStart"/>
      <w:r w:rsidRPr="009F6F41">
        <w:rPr>
          <w:rFonts w:ascii="Malgun Gothic" w:eastAsia="Malgun Gothic" w:hAnsi="Malgun Gothic"/>
          <w:bCs/>
        </w:rPr>
        <w:t>187049935150585</w:t>
      </w:r>
      <w:r w:rsidRPr="001758F8">
        <w:rPr>
          <w:rFonts w:ascii="Malgun Gothic" w:eastAsia="Malgun Gothic" w:hAnsi="Malgun Gothic"/>
          <w:bCs/>
        </w:rPr>
        <w:t xml:space="preserve"> </w:t>
      </w:r>
      <w:r w:rsidR="001758F8" w:rsidRPr="001758F8">
        <w:rPr>
          <w:rFonts w:ascii="Malgun Gothic" w:eastAsia="Malgun Gothic" w:hAnsi="Malgun Gothic"/>
          <w:bCs/>
        </w:rPr>
        <w:t xml:space="preserve"> et</w:t>
      </w:r>
      <w:proofErr w:type="gramEnd"/>
      <w:r w:rsidR="001758F8" w:rsidRPr="001758F8">
        <w:rPr>
          <w:rFonts w:ascii="Malgun Gothic" w:eastAsia="Malgun Gothic" w:hAnsi="Malgun Gothic"/>
          <w:bCs/>
        </w:rPr>
        <w:t xml:space="preserve"> demeurant à l’Adresse </w:t>
      </w:r>
      <w:r w:rsidRPr="009F6F41">
        <w:rPr>
          <w:rFonts w:ascii="Malgun Gothic" w:eastAsia="Malgun Gothic" w:hAnsi="Malgun Gothic"/>
          <w:bCs/>
        </w:rPr>
        <w:t xml:space="preserve">1 Rue De La </w:t>
      </w:r>
      <w:proofErr w:type="spellStart"/>
      <w:r w:rsidRPr="009F6F41">
        <w:rPr>
          <w:rFonts w:ascii="Malgun Gothic" w:eastAsia="Malgun Gothic" w:hAnsi="Malgun Gothic"/>
          <w:bCs/>
        </w:rPr>
        <w:t>Senette</w:t>
      </w:r>
      <w:proofErr w:type="spellEnd"/>
      <w:r w:rsidRPr="009F6F41">
        <w:rPr>
          <w:rFonts w:ascii="Malgun Gothic" w:eastAsia="Malgun Gothic" w:hAnsi="Malgun Gothic"/>
          <w:bCs/>
        </w:rPr>
        <w:t>, 78955 CARRIERES-SOUS-POISSY</w:t>
      </w:r>
      <w:r>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10AABC93" w14:textId="0D024A64" w:rsidR="00FE2024"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2BEC988D" w14:textId="77777777" w:rsidR="00FE2024" w:rsidRDefault="00FE2024">
      <w:pPr>
        <w:rPr>
          <w:rFonts w:ascii="Malgun Gothic" w:eastAsia="Malgun Gothic" w:hAnsi="Malgun Gothic"/>
          <w:b/>
        </w:rPr>
      </w:pPr>
      <w:r>
        <w:rPr>
          <w:rFonts w:ascii="Malgun Gothic" w:eastAsia="Malgun Gothic" w:hAnsi="Malgun Gothic"/>
          <w:b/>
        </w:rPr>
        <w:br w:type="page"/>
      </w:r>
    </w:p>
    <w:p w14:paraId="0589942E" w14:textId="77777777" w:rsidR="00CE3714" w:rsidRPr="00EE5BBA" w:rsidRDefault="00CE3714">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6145688F" w:rsidR="009F3430" w:rsidRPr="00EE5BBA" w:rsidRDefault="00386441">
      <w:pPr>
        <w:rPr>
          <w:rFonts w:ascii="Malgun Gothic" w:eastAsia="Malgun Gothic" w:hAnsi="Malgun Gothic"/>
        </w:rPr>
      </w:pPr>
      <w:r w:rsidRPr="00EE5BBA">
        <w:rPr>
          <w:rFonts w:ascii="Malgun Gothic" w:eastAsia="Malgun Gothic" w:hAnsi="Malgun Gothic"/>
        </w:rPr>
        <w:t>Le Salarié prendra ses fonctions au sein de la Société à la date du</w:t>
      </w:r>
      <w:r w:rsidR="00FE2024">
        <w:rPr>
          <w:rFonts w:ascii="Malgun Gothic" w:eastAsia="Malgun Gothic" w:hAnsi="Malgun Gothic"/>
        </w:rPr>
        <w:t xml:space="preserve"> </w:t>
      </w:r>
      <w:r w:rsidR="00FE2024" w:rsidRPr="00FA16FC">
        <w:rPr>
          <w:rFonts w:ascii="Malgun Gothic" w:eastAsia="Malgun Gothic" w:hAnsi="Malgun Gothic"/>
        </w:rPr>
        <w:t>15/02/</w:t>
      </w:r>
      <w:r w:rsidR="00B853AA" w:rsidRPr="00FA16FC">
        <w:rPr>
          <w:rFonts w:ascii="Malgun Gothic" w:eastAsia="Malgun Gothic" w:hAnsi="Malgun Gothic"/>
        </w:rPr>
        <w:t>2023</w:t>
      </w:r>
      <w:r w:rsidR="00B853AA">
        <w:rPr>
          <w:rFonts w:ascii="Helvetica" w:hAnsi="Helvetica" w:cs="Helvetica"/>
          <w:color w:val="777777"/>
          <w:sz w:val="20"/>
          <w:szCs w:val="20"/>
          <w:shd w:val="clear" w:color="auto" w:fill="FFFFFF"/>
        </w:rPr>
        <w:t xml:space="preserve"> </w:t>
      </w:r>
      <w:r w:rsidR="00B853AA" w:rsidRPr="00EE5BBA">
        <w:rPr>
          <w:rFonts w:ascii="Malgun Gothic" w:eastAsia="Malgun Gothic" w:hAnsi="Malgun Gothic"/>
        </w:rPr>
        <w:t>dans</w:t>
      </w:r>
      <w:r w:rsidRPr="00EE5BBA">
        <w:rPr>
          <w:rFonts w:ascii="Malgun Gothic" w:eastAsia="Malgun Gothic" w:hAnsi="Malgun Gothic"/>
        </w:rPr>
        <w:t xml:space="preserve">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CE3714" w:rsidRDefault="009F3430">
      <w:pPr>
        <w:rPr>
          <w:rFonts w:ascii="Malgun Gothic" w:eastAsia="Malgun Gothic" w:hAnsi="Malgun Gothic"/>
          <w:b/>
          <w:sz w:val="18"/>
          <w:szCs w:val="18"/>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CE3714" w:rsidRDefault="009F3430">
      <w:pPr>
        <w:rPr>
          <w:rFonts w:ascii="Malgun Gothic" w:eastAsia="Malgun Gothic" w:hAnsi="Malgun Gothic"/>
          <w:sz w:val="18"/>
          <w:szCs w:val="18"/>
        </w:rPr>
      </w:pPr>
    </w:p>
    <w:p w14:paraId="7D7F85E3" w14:textId="37A978EF"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d</w:t>
      </w:r>
      <w:r w:rsidR="00B853AA">
        <w:rPr>
          <w:rFonts w:ascii="Malgun Gothic" w:eastAsia="Malgun Gothic" w:hAnsi="Malgun Gothic"/>
        </w:rPr>
        <w:t>’</w:t>
      </w:r>
      <w:r w:rsidR="00FE2024" w:rsidRPr="00F55CB0">
        <w:rPr>
          <w:rFonts w:ascii="Malgun Gothic" w:eastAsia="Malgun Gothic" w:hAnsi="Malgun Gothic"/>
        </w:rPr>
        <w:t>Ingénieur étude et développement</w:t>
      </w:r>
      <w:r w:rsidR="00FE2024">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68D62C50"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E2024" w:rsidRPr="00FA16FC">
        <w:rPr>
          <w:rFonts w:ascii="Malgun Gothic" w:eastAsia="Malgun Gothic" w:hAnsi="Malgun Gothic"/>
        </w:rPr>
        <w:t>Position 2.3 - Coefficient 150</w:t>
      </w: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2801B08A"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5</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35BC1760"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B853AA">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2CBE0D8B" w:rsidR="00DF4565" w:rsidRDefault="00B853AA"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04D57EB3" w14:textId="17BC39C8" w:rsidR="00DF4565" w:rsidRDefault="00B853AA" w:rsidP="00DF4565">
      <w:pPr>
        <w:pStyle w:val="Paragraphedeliste"/>
        <w:numPr>
          <w:ilvl w:val="0"/>
          <w:numId w:val="5"/>
        </w:numPr>
        <w:rPr>
          <w:rFonts w:ascii="Malgun Gothic" w:eastAsia="Malgun Gothic" w:hAnsi="Malgun Gothic"/>
        </w:rPr>
      </w:pPr>
      <w:r>
        <w:rPr>
          <w:rFonts w:ascii="Malgun Gothic" w:eastAsia="Malgun Gothic" w:hAnsi="Malgun Gothic"/>
        </w:rPr>
        <w:t>6</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57BB8430"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B853AA">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77CAAD6"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63449714"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E2024" w:rsidRPr="00FA16FC">
        <w:rPr>
          <w:rFonts w:ascii="Malgun Gothic" w:eastAsia="Malgun Gothic" w:hAnsi="Malgun Gothic"/>
        </w:rPr>
        <w:t>54 298,</w:t>
      </w:r>
      <w:r w:rsidR="00B853AA" w:rsidRPr="00FA16FC">
        <w:rPr>
          <w:rFonts w:ascii="Malgun Gothic" w:eastAsia="Malgun Gothic" w:hAnsi="Malgun Gothic"/>
        </w:rPr>
        <w:t>80</w:t>
      </w:r>
      <w:r w:rsidR="00B853AA" w:rsidRPr="00A4504C">
        <w:rPr>
          <w:rFonts w:ascii="Malgun Gothic" w:eastAsia="Malgun Gothic" w:hAnsi="Malgun Gothic"/>
        </w:rPr>
        <w:t xml:space="preserve"> euros</w:t>
      </w:r>
      <w:r w:rsidR="00A4504C" w:rsidRPr="00A4504C">
        <w:rPr>
          <w:rFonts w:ascii="Malgun Gothic" w:eastAsia="Malgun Gothic" w:hAnsi="Malgun Gothic"/>
        </w:rPr>
        <w:t xml:space="preserve">, soit </w:t>
      </w:r>
      <w:r w:rsidR="00FE2024" w:rsidRPr="00FA16FC">
        <w:rPr>
          <w:rFonts w:ascii="Malgun Gothic" w:eastAsia="Malgun Gothic" w:hAnsi="Malgun Gothic"/>
        </w:rPr>
        <w:t>4 524,90</w:t>
      </w:r>
      <w:r w:rsidR="00FE2024">
        <w:rPr>
          <w:rFonts w:ascii="Malgun Gothic" w:eastAsia="Malgun Gothic" w:hAnsi="Malgun Gothic"/>
        </w:rPr>
        <w:t xml:space="preserve"> </w:t>
      </w:r>
      <w:r w:rsidR="00A4504C" w:rsidRPr="00A4504C">
        <w:rPr>
          <w:rFonts w:ascii="Malgun Gothic" w:eastAsia="Malgun Gothic" w:hAnsi="Malgun Gothic"/>
        </w:rPr>
        <w:t xml:space="preserve">euros </w:t>
      </w:r>
      <w:r w:rsidR="00FE2024" w:rsidRPr="00A4504C">
        <w:rPr>
          <w:rFonts w:ascii="Malgun Gothic" w:eastAsia="Malgun Gothic" w:hAnsi="Malgun Gothic"/>
        </w:rPr>
        <w:t>(</w:t>
      </w:r>
      <w:r w:rsidR="00FE2024" w:rsidRPr="00FA16FC">
        <w:rPr>
          <w:rFonts w:ascii="Malgun Gothic" w:eastAsia="Malgun Gothic" w:hAnsi="Malgun Gothic"/>
        </w:rPr>
        <w:t xml:space="preserve">quatre mille cinq cent vingt-quatre </w:t>
      </w:r>
      <w:r w:rsidR="00B853AA">
        <w:rPr>
          <w:rFonts w:ascii="Malgun Gothic" w:eastAsia="Malgun Gothic" w:hAnsi="Malgun Gothic"/>
        </w:rPr>
        <w:t>euros et</w:t>
      </w:r>
      <w:r w:rsidR="00FE2024" w:rsidRPr="00FA16FC">
        <w:rPr>
          <w:rFonts w:ascii="Malgun Gothic" w:eastAsia="Malgun Gothic" w:hAnsi="Malgun Gothic"/>
        </w:rPr>
        <w:t xml:space="preserve"> </w:t>
      </w:r>
      <w:r w:rsidR="00B853AA">
        <w:rPr>
          <w:rFonts w:ascii="Malgun Gothic" w:eastAsia="Malgun Gothic" w:hAnsi="Malgun Gothic"/>
        </w:rPr>
        <w:t>quatre-vingt-dix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5CD30373"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w:t>
      </w:r>
      <w:r w:rsidR="00B853AA">
        <w:rPr>
          <w:rFonts w:ascii="Malgun Gothic" w:eastAsia="Malgun Gothic" w:hAnsi="Malgun Gothic"/>
          <w:color w:val="000000"/>
        </w:rPr>
        <w:t>3 420</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26384C50"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B853AA">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B853AA">
        <w:rPr>
          <w:rFonts w:ascii="Malgun Gothic" w:eastAsia="Malgun Gothic" w:hAnsi="Malgun Gothic"/>
          <w:color w:val="000000"/>
        </w:rPr>
        <w:t>1 104,9</w:t>
      </w:r>
      <w:r w:rsidR="00A4504C">
        <w:rPr>
          <w:rFonts w:ascii="Malgun Gothic" w:eastAsia="Malgun Gothic" w:hAnsi="Malgun Gothic"/>
          <w:color w:val="000000"/>
        </w:rPr>
        <w:t xml:space="preserve"> euros bruts</w:t>
      </w:r>
    </w:p>
    <w:p w14:paraId="282D51A7" w14:textId="6DA22A10" w:rsidR="00CE3714" w:rsidRDefault="00CE3714" w:rsidP="00CE3714">
      <w:pPr>
        <w:pBdr>
          <w:top w:val="nil"/>
          <w:left w:val="nil"/>
          <w:bottom w:val="nil"/>
          <w:right w:val="nil"/>
          <w:between w:val="nil"/>
        </w:pBdr>
        <w:ind w:left="720"/>
        <w:rPr>
          <w:rFonts w:ascii="Malgun Gothic" w:eastAsia="Malgun Gothic" w:hAnsi="Malgun Gothic"/>
          <w:color w:val="000000"/>
        </w:rPr>
      </w:pP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47E1E5F8"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7C522E70"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Pr="0000347B" w:rsidRDefault="009F3430">
      <w:pPr>
        <w:widowControl w:val="0"/>
        <w:rPr>
          <w:rFonts w:ascii="Malgun Gothic" w:eastAsia="Malgun Gothic" w:hAnsi="Malgun Gothic"/>
          <w:color w:val="000000"/>
          <w:sz w:val="18"/>
          <w:szCs w:val="18"/>
        </w:rPr>
      </w:pPr>
    </w:p>
    <w:p w14:paraId="687015AC" w14:textId="77777777" w:rsidR="00FE02A0" w:rsidRDefault="00FE02A0" w:rsidP="00FE02A0">
      <w:pPr>
        <w:rPr>
          <w:rFonts w:ascii="Malgun Gothic" w:eastAsia="Malgun Gothic" w:hAnsi="Malgun Gothic"/>
          <w:b/>
          <w:color w:val="000000"/>
          <w:u w:val="single"/>
        </w:rPr>
      </w:pPr>
      <w:r>
        <w:rPr>
          <w:rFonts w:ascii="Malgun Gothic" w:eastAsia="Malgun Gothic" w:hAnsi="Malgun Gothic" w:hint="eastAsia"/>
          <w:b/>
          <w:color w:val="000000"/>
          <w:u w:val="single"/>
        </w:rPr>
        <w:t xml:space="preserve">Article 9 – Frais professionnels liés au Télétravail </w:t>
      </w:r>
    </w:p>
    <w:p w14:paraId="2EFC46CB" w14:textId="77777777" w:rsidR="00FE02A0" w:rsidRDefault="00FE02A0" w:rsidP="00FE02A0">
      <w:pPr>
        <w:shd w:val="clear" w:color="auto" w:fill="FFFFFF"/>
        <w:spacing w:line="345" w:lineRule="atLeast"/>
        <w:rPr>
          <w:rFonts w:ascii="Malgun Gothic" w:eastAsia="Malgun Gothic" w:hAnsi="Malgun Gothic"/>
          <w:color w:val="000000"/>
        </w:rPr>
      </w:pPr>
    </w:p>
    <w:p w14:paraId="1F34B563" w14:textId="77777777" w:rsidR="00FE02A0" w:rsidRDefault="00FE02A0" w:rsidP="00FE02A0">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t>À l’occasion de l’exercice de vos fonctions en télétravail, vous serez amené à supporter divers frais professionnels liés à ce mode de travail.</w:t>
      </w:r>
    </w:p>
    <w:p w14:paraId="441F500F" w14:textId="14A82AC7" w:rsidR="00FE02A0" w:rsidRDefault="00FE02A0" w:rsidP="00FE02A0">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lastRenderedPageBreak/>
        <w:t xml:space="preserve">Vous percevrez une indemnité dite d’occupation d’un montant de </w:t>
      </w:r>
      <w:r w:rsidR="00B853AA">
        <w:rPr>
          <w:rFonts w:ascii="Malgun Gothic" w:eastAsia="Malgun Gothic" w:hAnsi="Malgun Gothic"/>
          <w:color w:val="000000"/>
        </w:rPr>
        <w:t>230</w:t>
      </w:r>
      <w:r>
        <w:rPr>
          <w:rFonts w:ascii="Malgun Gothic" w:eastAsia="Malgun Gothic" w:hAnsi="Malgun Gothic" w:hint="eastAsia"/>
          <w:color w:val="000000"/>
        </w:rPr>
        <w:t xml:space="preserve"> euros par mois, compte tenu de la sujétion subie du fait de l’occupation d’une partie de votre lieu d’habitation à des fins professionnelles</w:t>
      </w:r>
    </w:p>
    <w:p w14:paraId="10424097" w14:textId="77777777" w:rsidR="00FE02A0" w:rsidRDefault="00FE02A0">
      <w:pPr>
        <w:pBdr>
          <w:top w:val="nil"/>
          <w:left w:val="nil"/>
          <w:bottom w:val="nil"/>
          <w:right w:val="nil"/>
          <w:between w:val="nil"/>
        </w:pBdr>
        <w:rPr>
          <w:rFonts w:ascii="Malgun Gothic" w:eastAsia="Malgun Gothic" w:hAnsi="Malgun Gothic"/>
          <w:b/>
          <w:color w:val="000000"/>
          <w:u w:val="single"/>
        </w:rPr>
      </w:pPr>
    </w:p>
    <w:p w14:paraId="6571C07B" w14:textId="3EA5CE02"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FE02A0">
        <w:rPr>
          <w:rFonts w:ascii="Malgun Gothic" w:eastAsia="Malgun Gothic" w:hAnsi="Malgun Gothic"/>
          <w:b/>
          <w:color w:val="000000"/>
          <w:u w:val="single"/>
        </w:rPr>
        <w:t>10</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DE52BFB" w14:textId="77777777" w:rsidR="00FE02A0" w:rsidRDefault="00386441" w:rsidP="00FE02A0">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04BA4896" w14:textId="60837325" w:rsidR="009F3430" w:rsidRPr="00EE5BBA" w:rsidRDefault="00386441" w:rsidP="00FE02A0">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8D00D66" w14:textId="39FCF5FA" w:rsidR="009F3430" w:rsidRPr="00FE2024"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lastRenderedPageBreak/>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2E19F51E"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FE02A0">
        <w:rPr>
          <w:rFonts w:ascii="Malgun Gothic" w:eastAsia="Malgun Gothic" w:hAnsi="Malgun Gothic"/>
          <w:b/>
          <w:color w:val="000000"/>
          <w:u w:val="single"/>
        </w:rPr>
        <w:t>1</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26C92760"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FE02A0">
        <w:rPr>
          <w:rFonts w:ascii="Malgun Gothic" w:eastAsia="Malgun Gothic" w:hAnsi="Malgun Gothic"/>
          <w:b/>
          <w:u w:val="single"/>
        </w:rPr>
        <w:t>2</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09431C1C"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FE02A0">
        <w:rPr>
          <w:rFonts w:ascii="Malgun Gothic" w:eastAsia="Malgun Gothic" w:hAnsi="Malgun Gothic"/>
          <w:b/>
          <w:u w:val="single"/>
        </w:rPr>
        <w:t>3</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w:t>
      </w:r>
      <w:r w:rsidRPr="00EE5BBA">
        <w:rPr>
          <w:rFonts w:ascii="Malgun Gothic" w:eastAsia="Malgun Gothic" w:hAnsi="Malgun Gothic"/>
        </w:rPr>
        <w:lastRenderedPageBreak/>
        <w:t xml:space="preserve">tout autre bien appartenant à la Société ou qui lui aura été remis dans l’exercice de ses fonctions ou dans le cadre de l’exécution du Contrat. </w:t>
      </w:r>
    </w:p>
    <w:p w14:paraId="5EBA0016" w14:textId="77777777" w:rsidR="0000347B" w:rsidRDefault="0000347B">
      <w:pPr>
        <w:rPr>
          <w:rFonts w:ascii="Malgun Gothic" w:eastAsia="Malgun Gothic" w:hAnsi="Malgun Gothic"/>
          <w:b/>
          <w:u w:val="single"/>
        </w:rPr>
      </w:pPr>
    </w:p>
    <w:p w14:paraId="5E5CA45F" w14:textId="296FCA49"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FE02A0">
        <w:rPr>
          <w:rFonts w:ascii="Malgun Gothic" w:eastAsia="Malgun Gothic" w:hAnsi="Malgun Gothic"/>
          <w:b/>
          <w:u w:val="single"/>
        </w:rPr>
        <w:t>4</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07D3C3D2" w14:textId="4083240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FE02A0">
        <w:rPr>
          <w:rFonts w:ascii="Malgun Gothic" w:eastAsia="Malgun Gothic" w:hAnsi="Malgun Gothic"/>
          <w:b/>
          <w:u w:val="single"/>
        </w:rPr>
        <w:t>5</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22DFAA62" w14:textId="44432535" w:rsidR="009F3430" w:rsidRPr="00FE02A0" w:rsidRDefault="00386441" w:rsidP="00FE02A0">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5639CD4A" w14:textId="77777777" w:rsidR="00CE3714" w:rsidRPr="00EE5BBA" w:rsidRDefault="00CE3714">
      <w:pPr>
        <w:rPr>
          <w:rFonts w:ascii="Malgun Gothic" w:eastAsia="Malgun Gothic" w:hAnsi="Malgun Gothic"/>
          <w:sz w:val="28"/>
          <w:szCs w:val="28"/>
        </w:rPr>
      </w:pPr>
    </w:p>
    <w:p w14:paraId="799846A4" w14:textId="436E0D4C"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E2024" w:rsidRPr="00FC0AEF">
        <w:rPr>
          <w:rFonts w:ascii="Malgun Gothic" w:eastAsia="Malgun Gothic" w:hAnsi="Malgun Gothic"/>
        </w:rPr>
        <w:t>15/02/2023.</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31"/>
      </w:tblGrid>
      <w:tr w:rsidR="002A216D" w14:paraId="4C7D7D6B" w14:textId="77777777" w:rsidTr="00FE2024">
        <w:tc>
          <w:tcPr>
            <w:tcW w:w="5529"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508FDE4C" w:rsidR="002A216D" w:rsidRDefault="00FE2024" w:rsidP="006C187F">
            <w:pPr>
              <w:jc w:val="left"/>
              <w:rPr>
                <w:rFonts w:ascii="Malgun Gothic" w:eastAsia="Malgun Gothic" w:hAnsi="Malgun Gothic"/>
              </w:rPr>
            </w:pPr>
            <w:r w:rsidRPr="00FC0AEF">
              <w:rPr>
                <w:rFonts w:ascii="Malgun Gothic" w:eastAsia="Malgun Gothic" w:hAnsi="Malgun Gothic"/>
              </w:rPr>
              <w:t>Idris</w:t>
            </w:r>
            <w:r>
              <w:rPr>
                <w:rFonts w:ascii="Malgun Gothic" w:eastAsia="Malgun Gothic" w:hAnsi="Malgun Gothic"/>
              </w:rPr>
              <w:t xml:space="preserve"> </w:t>
            </w:r>
            <w:r w:rsidRPr="00FC0AEF">
              <w:rPr>
                <w:rFonts w:ascii="Malgun Gothic" w:eastAsia="Malgun Gothic" w:hAnsi="Malgun Gothic"/>
              </w:rPr>
              <w:t>THABET</w:t>
            </w:r>
          </w:p>
        </w:tc>
        <w:tc>
          <w:tcPr>
            <w:tcW w:w="3531"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75F51FE8" w14:textId="77777777" w:rsidR="00FE02A0" w:rsidRDefault="00FE02A0">
      <w:pPr>
        <w:tabs>
          <w:tab w:val="left" w:pos="4320"/>
        </w:tabs>
        <w:rPr>
          <w:rFonts w:ascii="Malgun Gothic" w:eastAsia="Malgun Gothic" w:hAnsi="Malgun Gothic"/>
        </w:rPr>
      </w:pPr>
    </w:p>
    <w:p w14:paraId="4EC4DB22" w14:textId="57D60336" w:rsidR="009F3430" w:rsidRPr="00FE02A0" w:rsidRDefault="00386441">
      <w:pPr>
        <w:tabs>
          <w:tab w:val="left" w:pos="4320"/>
        </w:tabs>
        <w:rPr>
          <w:rFonts w:ascii="Malgun Gothic" w:eastAsia="Malgun Gothic" w:hAnsi="Malgun Gothic"/>
          <w:b/>
        </w:rPr>
      </w:pPr>
      <w:r w:rsidRPr="00007915">
        <w:rPr>
          <w:rFonts w:ascii="Malgun Gothic" w:eastAsia="Malgun Gothic" w:hAnsi="Malgun Gothic"/>
        </w:rPr>
        <w:t xml:space="preserve">                      </w:t>
      </w:r>
    </w:p>
    <w:p w14:paraId="4D5BFB4E" w14:textId="77777777" w:rsidR="00FE02A0"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5122DDAB" w14:textId="38755016"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078E34C9" w14:textId="77777777" w:rsidR="00FE2024" w:rsidRDefault="00FE2024" w:rsidP="00C42AC7">
      <w:pPr>
        <w:tabs>
          <w:tab w:val="left" w:pos="4320"/>
        </w:tabs>
        <w:rPr>
          <w:rFonts w:ascii="Malgun Gothic" w:eastAsia="Malgun Gothic" w:hAnsi="Malgun Gothic"/>
        </w:rPr>
      </w:pP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7C365" w14:textId="77777777" w:rsidR="00260066" w:rsidRDefault="00260066">
      <w:r>
        <w:separator/>
      </w:r>
    </w:p>
  </w:endnote>
  <w:endnote w:type="continuationSeparator" w:id="0">
    <w:p w14:paraId="1129882E" w14:textId="77777777" w:rsidR="00260066" w:rsidRDefault="0026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81F4" w14:textId="77777777" w:rsidR="00260066" w:rsidRDefault="00260066">
      <w:r>
        <w:separator/>
      </w:r>
    </w:p>
  </w:footnote>
  <w:footnote w:type="continuationSeparator" w:id="0">
    <w:p w14:paraId="6D7CCC1B" w14:textId="77777777" w:rsidR="00260066" w:rsidRDefault="00260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0E520E"/>
    <w:multiLevelType w:val="hybridMultilevel"/>
    <w:tmpl w:val="4808AA9A"/>
    <w:lvl w:ilvl="0" w:tplc="743745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DC3328"/>
    <w:multiLevelType w:val="hybridMultilevel"/>
    <w:tmpl w:val="71E6DD38"/>
    <w:lvl w:ilvl="0" w:tplc="84627440">
      <w:start w:val="1"/>
      <w:numFmt w:val="decimal"/>
      <w:lvlText w:val="%1."/>
      <w:lvlJc w:val="left"/>
      <w:pPr>
        <w:ind w:left="720" w:hanging="360"/>
      </w:pPr>
    </w:lvl>
    <w:lvl w:ilvl="1" w:tplc="84627440" w:tentative="1">
      <w:start w:val="1"/>
      <w:numFmt w:val="lowerLetter"/>
      <w:lvlText w:val="%2."/>
      <w:lvlJc w:val="left"/>
      <w:pPr>
        <w:ind w:left="1440" w:hanging="360"/>
      </w:pPr>
    </w:lvl>
    <w:lvl w:ilvl="2" w:tplc="84627440" w:tentative="1">
      <w:start w:val="1"/>
      <w:numFmt w:val="lowerRoman"/>
      <w:lvlText w:val="%3."/>
      <w:lvlJc w:val="right"/>
      <w:pPr>
        <w:ind w:left="2160" w:hanging="180"/>
      </w:pPr>
    </w:lvl>
    <w:lvl w:ilvl="3" w:tplc="84627440" w:tentative="1">
      <w:start w:val="1"/>
      <w:numFmt w:val="decimal"/>
      <w:lvlText w:val="%4."/>
      <w:lvlJc w:val="left"/>
      <w:pPr>
        <w:ind w:left="2880" w:hanging="360"/>
      </w:pPr>
    </w:lvl>
    <w:lvl w:ilvl="4" w:tplc="84627440" w:tentative="1">
      <w:start w:val="1"/>
      <w:numFmt w:val="lowerLetter"/>
      <w:lvlText w:val="%5."/>
      <w:lvlJc w:val="left"/>
      <w:pPr>
        <w:ind w:left="3600" w:hanging="360"/>
      </w:pPr>
    </w:lvl>
    <w:lvl w:ilvl="5" w:tplc="84627440" w:tentative="1">
      <w:start w:val="1"/>
      <w:numFmt w:val="lowerRoman"/>
      <w:lvlText w:val="%6."/>
      <w:lvlJc w:val="right"/>
      <w:pPr>
        <w:ind w:left="4320" w:hanging="180"/>
      </w:pPr>
    </w:lvl>
    <w:lvl w:ilvl="6" w:tplc="84627440" w:tentative="1">
      <w:start w:val="1"/>
      <w:numFmt w:val="decimal"/>
      <w:lvlText w:val="%7."/>
      <w:lvlJc w:val="left"/>
      <w:pPr>
        <w:ind w:left="5040" w:hanging="360"/>
      </w:pPr>
    </w:lvl>
    <w:lvl w:ilvl="7" w:tplc="84627440" w:tentative="1">
      <w:start w:val="1"/>
      <w:numFmt w:val="lowerLetter"/>
      <w:lvlText w:val="%8."/>
      <w:lvlJc w:val="left"/>
      <w:pPr>
        <w:ind w:left="5760" w:hanging="360"/>
      </w:pPr>
    </w:lvl>
    <w:lvl w:ilvl="8" w:tplc="84627440" w:tentative="1">
      <w:start w:val="1"/>
      <w:numFmt w:val="lowerRoman"/>
      <w:lvlText w:val="%9."/>
      <w:lvlJc w:val="right"/>
      <w:pPr>
        <w:ind w:left="6480" w:hanging="180"/>
      </w:pPr>
    </w:lvl>
  </w:abstractNum>
  <w:num w:numId="1" w16cid:durableId="2071343443">
    <w:abstractNumId w:val="5"/>
  </w:num>
  <w:num w:numId="2" w16cid:durableId="115874758">
    <w:abstractNumId w:val="1"/>
  </w:num>
  <w:num w:numId="3" w16cid:durableId="1806462340">
    <w:abstractNumId w:val="3"/>
  </w:num>
  <w:num w:numId="4" w16cid:durableId="948926910">
    <w:abstractNumId w:val="4"/>
  </w:num>
  <w:num w:numId="5" w16cid:durableId="1553271957">
    <w:abstractNumId w:val="0"/>
  </w:num>
  <w:num w:numId="6" w16cid:durableId="1411345511">
    <w:abstractNumId w:val="2"/>
  </w:num>
  <w:num w:numId="7" w16cid:durableId="1026447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97593"/>
    <w:rsid w:val="000B608B"/>
    <w:rsid w:val="000F7288"/>
    <w:rsid w:val="00101E59"/>
    <w:rsid w:val="00117014"/>
    <w:rsid w:val="00150353"/>
    <w:rsid w:val="001758F8"/>
    <w:rsid w:val="00183F46"/>
    <w:rsid w:val="001F6241"/>
    <w:rsid w:val="001F74C8"/>
    <w:rsid w:val="00233CE5"/>
    <w:rsid w:val="00260066"/>
    <w:rsid w:val="002A216D"/>
    <w:rsid w:val="002C24AA"/>
    <w:rsid w:val="002C7C6D"/>
    <w:rsid w:val="003714E7"/>
    <w:rsid w:val="00386441"/>
    <w:rsid w:val="003C184B"/>
    <w:rsid w:val="00497A8F"/>
    <w:rsid w:val="004E6CAB"/>
    <w:rsid w:val="004F1F36"/>
    <w:rsid w:val="004F2457"/>
    <w:rsid w:val="00500632"/>
    <w:rsid w:val="0056448E"/>
    <w:rsid w:val="00564F67"/>
    <w:rsid w:val="0056681F"/>
    <w:rsid w:val="005A3AC8"/>
    <w:rsid w:val="005B48AA"/>
    <w:rsid w:val="005D7D68"/>
    <w:rsid w:val="00631AAD"/>
    <w:rsid w:val="006562DE"/>
    <w:rsid w:val="00661EC1"/>
    <w:rsid w:val="00667975"/>
    <w:rsid w:val="00671235"/>
    <w:rsid w:val="00686902"/>
    <w:rsid w:val="006A280F"/>
    <w:rsid w:val="006C187F"/>
    <w:rsid w:val="006D2778"/>
    <w:rsid w:val="007239A4"/>
    <w:rsid w:val="007349A3"/>
    <w:rsid w:val="00740060"/>
    <w:rsid w:val="00740EA0"/>
    <w:rsid w:val="0076695C"/>
    <w:rsid w:val="008052F7"/>
    <w:rsid w:val="00867DFB"/>
    <w:rsid w:val="00894420"/>
    <w:rsid w:val="008A54CF"/>
    <w:rsid w:val="008A7641"/>
    <w:rsid w:val="008B5D40"/>
    <w:rsid w:val="008C10A9"/>
    <w:rsid w:val="00913716"/>
    <w:rsid w:val="00953AE8"/>
    <w:rsid w:val="009603F8"/>
    <w:rsid w:val="009B4C68"/>
    <w:rsid w:val="009C02A8"/>
    <w:rsid w:val="009E26AD"/>
    <w:rsid w:val="009F3430"/>
    <w:rsid w:val="00A259A2"/>
    <w:rsid w:val="00A4504C"/>
    <w:rsid w:val="00A46D12"/>
    <w:rsid w:val="00A91C96"/>
    <w:rsid w:val="00B43E78"/>
    <w:rsid w:val="00B853AA"/>
    <w:rsid w:val="00BA784A"/>
    <w:rsid w:val="00C25E78"/>
    <w:rsid w:val="00C306FD"/>
    <w:rsid w:val="00C42AC7"/>
    <w:rsid w:val="00C57CFD"/>
    <w:rsid w:val="00C77ED4"/>
    <w:rsid w:val="00C9573F"/>
    <w:rsid w:val="00CC570C"/>
    <w:rsid w:val="00CE3714"/>
    <w:rsid w:val="00CE4895"/>
    <w:rsid w:val="00D20B85"/>
    <w:rsid w:val="00D46E78"/>
    <w:rsid w:val="00D913AE"/>
    <w:rsid w:val="00DA6BD3"/>
    <w:rsid w:val="00DA6BE1"/>
    <w:rsid w:val="00DD6C50"/>
    <w:rsid w:val="00DF4565"/>
    <w:rsid w:val="00E03C20"/>
    <w:rsid w:val="00E210A2"/>
    <w:rsid w:val="00E23362"/>
    <w:rsid w:val="00E70B5F"/>
    <w:rsid w:val="00E73C4B"/>
    <w:rsid w:val="00EE5BBA"/>
    <w:rsid w:val="00EE708B"/>
    <w:rsid w:val="00F06C62"/>
    <w:rsid w:val="00F726EC"/>
    <w:rsid w:val="00F806FB"/>
    <w:rsid w:val="00FB0344"/>
    <w:rsid w:val="00FE02A0"/>
    <w:rsid w:val="00FE20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1625692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1898</Words>
  <Characters>10442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LAJMI Nouha</cp:lastModifiedBy>
  <cp:revision>2</cp:revision>
  <dcterms:created xsi:type="dcterms:W3CDTF">2023-02-15T09:08:00Z</dcterms:created>
  <dcterms:modified xsi:type="dcterms:W3CDTF">2023-02-15T09:08:00Z</dcterms:modified>
</cp:coreProperties>
</file>