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445F5B12" w:rsidR="009F3430" w:rsidRPr="00911C63" w:rsidRDefault="00911C63" w:rsidP="00911C63">
      <w:pPr>
        <w:autoSpaceDE w:val="0"/>
        <w:autoSpaceDN w:val="0"/>
        <w:adjustRightInd w:val="0"/>
        <w:jc w:val="left"/>
        <w:rPr>
          <w:rFonts w:ascii="Arial" w:hAnsi="Arial" w:cs="Arial"/>
          <w:sz w:val="20"/>
          <w:szCs w:val="20"/>
        </w:rPr>
      </w:pPr>
      <w:r>
        <w:rPr>
          <w:rFonts w:ascii="Malgun Gothic" w:eastAsia="Malgun Gothic" w:hAnsi="Malgun Gothic"/>
          <w:b/>
        </w:rPr>
        <w:t>Mohamed Sadok BEN HELEL</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911C63">
        <w:rPr>
          <w:rFonts w:ascii="Malgun Gothic" w:eastAsia="Malgun Gothic" w:hAnsi="Malgun Gothic"/>
          <w:bCs/>
        </w:rPr>
        <w:t>20/06/1988</w:t>
      </w:r>
      <w:r w:rsidR="001758F8" w:rsidRPr="00911C63">
        <w:rPr>
          <w:rFonts w:ascii="Malgun Gothic" w:eastAsia="Malgun Gothic" w:hAnsi="Malgun Gothic"/>
          <w:bCs/>
        </w:rPr>
        <w:t xml:space="preserve"> à </w:t>
      </w:r>
      <w:proofErr w:type="spellStart"/>
      <w:r w:rsidRPr="00911C63">
        <w:rPr>
          <w:rFonts w:ascii="Malgun Gothic" w:eastAsia="Malgun Gothic" w:hAnsi="Malgun Gothic"/>
          <w:bCs/>
        </w:rPr>
        <w:t>Jerba</w:t>
      </w:r>
      <w:proofErr w:type="spellEnd"/>
      <w:r w:rsidR="00740EA0" w:rsidRPr="00911C63">
        <w:rPr>
          <w:rFonts w:ascii="Malgun Gothic" w:eastAsia="Malgun Gothic" w:hAnsi="Malgun Gothic"/>
          <w:bCs/>
        </w:rPr>
        <w:t xml:space="preserve"> – </w:t>
      </w:r>
      <w:r w:rsidRPr="00911C63">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911C63">
        <w:rPr>
          <w:rFonts w:ascii="Malgun Gothic" w:eastAsia="Malgun Gothic" w:hAnsi="Malgun Gothic"/>
          <w:bCs/>
        </w:rPr>
        <w:t>188069935161753</w:t>
      </w:r>
      <w:r w:rsidR="001758F8" w:rsidRPr="001758F8">
        <w:rPr>
          <w:rFonts w:ascii="Malgun Gothic" w:eastAsia="Malgun Gothic" w:hAnsi="Malgun Gothic"/>
          <w:bCs/>
        </w:rPr>
        <w:t xml:space="preserve"> et demeurant à l’Adresse </w:t>
      </w:r>
      <w:r w:rsidRPr="00911C63">
        <w:rPr>
          <w:rFonts w:ascii="Malgun Gothic" w:eastAsia="Malgun Gothic" w:hAnsi="Malgun Gothic"/>
          <w:bCs/>
        </w:rPr>
        <w:t>3 Rue Carnot, 78220 Viroflay</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581591EB"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911C63">
        <w:rPr>
          <w:rFonts w:ascii="Malgun Gothic" w:eastAsia="Malgun Gothic" w:hAnsi="Malgun Gothic"/>
        </w:rPr>
        <w:t xml:space="preserve">01/01/2023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13B1DB31"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911C63">
        <w:rPr>
          <w:rFonts w:ascii="Malgun Gothic" w:eastAsia="Malgun Gothic" w:hAnsi="Malgun Gothic"/>
        </w:rPr>
        <w:t>d’Ingénieur</w:t>
      </w:r>
      <w:r w:rsidR="00911C63" w:rsidRPr="00911C63">
        <w:rPr>
          <w:rFonts w:ascii="Malgun Gothic" w:eastAsia="Malgun Gothic" w:hAnsi="Malgun Gothic"/>
        </w:rPr>
        <w:t xml:space="preserve"> étude</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2419DF2D"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911C63">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911C63">
        <w:rPr>
          <w:rFonts w:ascii="Malgun Gothic" w:eastAsia="Malgun Gothic" w:hAnsi="Malgun Gothic"/>
        </w:rPr>
        <w:t>170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52A2C654"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911C63">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47F4BB87" w:rsidR="00DF4565" w:rsidRDefault="00911C63"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11A2CCEE" w:rsidR="00DF4565" w:rsidRDefault="00911C63"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2C6E0E57"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911C63">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638D51B0"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911C63">
        <w:rPr>
          <w:rFonts w:ascii="Malgun Gothic" w:eastAsia="Malgun Gothic" w:hAnsi="Malgun Gothic"/>
        </w:rPr>
        <w:t>60 490,68</w:t>
      </w:r>
      <w:r w:rsidR="00A4504C" w:rsidRPr="00A4504C">
        <w:rPr>
          <w:rFonts w:ascii="Malgun Gothic" w:eastAsia="Malgun Gothic" w:hAnsi="Malgun Gothic"/>
        </w:rPr>
        <w:t xml:space="preserve"> euros, soit </w:t>
      </w:r>
      <w:r w:rsidR="00911C63">
        <w:rPr>
          <w:rFonts w:ascii="Malgun Gothic" w:eastAsia="Malgun Gothic" w:hAnsi="Malgun Gothic"/>
        </w:rPr>
        <w:t>5 040,89</w:t>
      </w:r>
      <w:r w:rsidR="00740EA0">
        <w:rPr>
          <w:rFonts w:ascii="Malgun Gothic" w:eastAsia="Malgun Gothic" w:hAnsi="Malgun Gothic"/>
        </w:rPr>
        <w:t xml:space="preserve"> </w:t>
      </w:r>
      <w:r w:rsidR="00A4504C" w:rsidRPr="00A4504C">
        <w:rPr>
          <w:rFonts w:ascii="Malgun Gothic" w:eastAsia="Malgun Gothic" w:hAnsi="Malgun Gothic"/>
        </w:rPr>
        <w:t>euros (</w:t>
      </w:r>
      <w:r w:rsidR="00911C63">
        <w:rPr>
          <w:rFonts w:ascii="Malgun Gothic" w:eastAsia="Malgun Gothic" w:hAnsi="Malgun Gothic"/>
        </w:rPr>
        <w:t>Cinq mille quarante euro et quatre-vingt-neuf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10E6E19B"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911C63">
        <w:rPr>
          <w:rFonts w:ascii="Malgun Gothic" w:eastAsia="Malgun Gothic" w:hAnsi="Malgun Gothic"/>
          <w:color w:val="000000"/>
        </w:rPr>
        <w:t>3 810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18593FC0"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911C63">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911C63">
        <w:rPr>
          <w:rFonts w:ascii="Malgun Gothic" w:eastAsia="Malgun Gothic" w:hAnsi="Malgun Gothic"/>
          <w:color w:val="000000"/>
        </w:rPr>
        <w:t>1 230,89</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571C07B" w14:textId="384B096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w:t>
      </w:r>
      <w:r w:rsidRPr="00EE5BBA">
        <w:rPr>
          <w:rFonts w:ascii="Malgun Gothic" w:eastAsia="Malgun Gothic" w:hAnsi="Malgun Gothic"/>
          <w:color w:val="000000"/>
        </w:rPr>
        <w:lastRenderedPageBreak/>
        <w:t>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00D87DFE" w14:textId="77777777" w:rsidR="0000347B" w:rsidRDefault="0000347B">
      <w:pPr>
        <w:rPr>
          <w:rFonts w:ascii="Malgun Gothic" w:eastAsia="Malgun Gothic" w:hAnsi="Malgun Gothic"/>
          <w:b/>
          <w:u w:val="single"/>
        </w:rPr>
      </w:pPr>
    </w:p>
    <w:p w14:paraId="5EBA0016" w14:textId="77777777" w:rsidR="0000347B" w:rsidRDefault="0000347B">
      <w:pPr>
        <w:rPr>
          <w:rFonts w:ascii="Malgun Gothic" w:eastAsia="Malgun Gothic" w:hAnsi="Malgun Gothic"/>
          <w:b/>
          <w:u w:val="single"/>
        </w:rPr>
      </w:pPr>
    </w:p>
    <w:p w14:paraId="5E5CA45F" w14:textId="4B5A3542"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237CD8A1"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911C63" w:rsidRPr="00911C63">
        <w:rPr>
          <w:rFonts w:ascii="Malgun Gothic" w:eastAsia="Malgun Gothic" w:hAnsi="Malgun Gothic"/>
        </w:rPr>
        <w:t>20/12/2022</w:t>
      </w:r>
      <w:r w:rsidRPr="00911C63">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BCCBA57" w:rsidR="002A216D" w:rsidRDefault="00911C63" w:rsidP="006C187F">
            <w:pPr>
              <w:jc w:val="left"/>
              <w:rPr>
                <w:rFonts w:ascii="Malgun Gothic" w:eastAsia="Malgun Gothic" w:hAnsi="Malgun Gothic"/>
              </w:rPr>
            </w:pPr>
            <w:r>
              <w:rPr>
                <w:rFonts w:ascii="Malgun Gothic" w:eastAsia="Malgun Gothic" w:hAnsi="Malgun Gothic"/>
              </w:rPr>
              <w:t xml:space="preserve">Mohamed Sadok BEN HELEL </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8A19" w14:textId="77777777" w:rsidR="00E626A8" w:rsidRDefault="00E626A8">
      <w:r>
        <w:separator/>
      </w:r>
    </w:p>
  </w:endnote>
  <w:endnote w:type="continuationSeparator" w:id="0">
    <w:p w14:paraId="3BF45CC4" w14:textId="77777777" w:rsidR="00E626A8" w:rsidRDefault="00E6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BD30" w14:textId="77777777" w:rsidR="00E626A8" w:rsidRDefault="00E626A8">
      <w:r>
        <w:separator/>
      </w:r>
    </w:p>
  </w:footnote>
  <w:footnote w:type="continuationSeparator" w:id="0">
    <w:p w14:paraId="6EC94E99" w14:textId="77777777" w:rsidR="00E626A8" w:rsidRDefault="00E6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50353"/>
    <w:rsid w:val="001758F8"/>
    <w:rsid w:val="00183F46"/>
    <w:rsid w:val="001F6241"/>
    <w:rsid w:val="001F74C8"/>
    <w:rsid w:val="00233CE5"/>
    <w:rsid w:val="002A216D"/>
    <w:rsid w:val="002C24AA"/>
    <w:rsid w:val="002C7C6D"/>
    <w:rsid w:val="003714E7"/>
    <w:rsid w:val="00386441"/>
    <w:rsid w:val="003C184B"/>
    <w:rsid w:val="00497A8F"/>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349A3"/>
    <w:rsid w:val="00740060"/>
    <w:rsid w:val="00740EA0"/>
    <w:rsid w:val="0076695C"/>
    <w:rsid w:val="008052F7"/>
    <w:rsid w:val="00867DFB"/>
    <w:rsid w:val="00894420"/>
    <w:rsid w:val="008A54CF"/>
    <w:rsid w:val="008A7641"/>
    <w:rsid w:val="008B5D40"/>
    <w:rsid w:val="008C10A9"/>
    <w:rsid w:val="00911C63"/>
    <w:rsid w:val="00913716"/>
    <w:rsid w:val="00953AE8"/>
    <w:rsid w:val="009603F8"/>
    <w:rsid w:val="009B4C68"/>
    <w:rsid w:val="009C02A8"/>
    <w:rsid w:val="009E26AD"/>
    <w:rsid w:val="009F3430"/>
    <w:rsid w:val="00A259A2"/>
    <w:rsid w:val="00A4504C"/>
    <w:rsid w:val="00A46D12"/>
    <w:rsid w:val="00A91C96"/>
    <w:rsid w:val="00B43E78"/>
    <w:rsid w:val="00BA784A"/>
    <w:rsid w:val="00C25E78"/>
    <w:rsid w:val="00C306FD"/>
    <w:rsid w:val="00C42AC7"/>
    <w:rsid w:val="00C57CFD"/>
    <w:rsid w:val="00C77ED4"/>
    <w:rsid w:val="00C9573F"/>
    <w:rsid w:val="00CC570C"/>
    <w:rsid w:val="00CE3714"/>
    <w:rsid w:val="00CE4895"/>
    <w:rsid w:val="00D20B85"/>
    <w:rsid w:val="00D913AE"/>
    <w:rsid w:val="00DA6BD3"/>
    <w:rsid w:val="00DA6BE1"/>
    <w:rsid w:val="00DD6C50"/>
    <w:rsid w:val="00DF4565"/>
    <w:rsid w:val="00E03C20"/>
    <w:rsid w:val="00E210A2"/>
    <w:rsid w:val="00E23362"/>
    <w:rsid w:val="00E626A8"/>
    <w:rsid w:val="00E70B5F"/>
    <w:rsid w:val="00E73C4B"/>
    <w:rsid w:val="00EE5BBA"/>
    <w:rsid w:val="00EE708B"/>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1846</Words>
  <Characters>10157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2022-12-20T16:04:00Z</dcterms:created>
  <dcterms:modified xsi:type="dcterms:W3CDTF">2022-12-20T16:04:00Z</dcterms:modified>
</cp:coreProperties>
</file>