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19F1B9B0"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CC7F6C"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96D48DC" w:rsidR="009F3430" w:rsidRPr="00CC7F6C" w:rsidRDefault="00CC7F6C" w:rsidP="001758F8">
      <w:pPr>
        <w:rPr>
          <w:rFonts w:ascii="Malgun Gothic" w:eastAsia="Malgun Gothic" w:hAnsi="Malgun Gothic"/>
          <w:bCs/>
        </w:rPr>
      </w:pPr>
      <w:r>
        <w:rPr>
          <w:rFonts w:ascii="Malgun Gothic" w:eastAsia="Malgun Gothic" w:hAnsi="Malgun Gothic"/>
          <w:b/>
        </w:rPr>
        <w:t>Hazem BENAMOR</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CC7F6C">
        <w:rPr>
          <w:rFonts w:ascii="Malgun Gothic" w:eastAsia="Malgun Gothic" w:hAnsi="Malgun Gothic"/>
          <w:bCs/>
        </w:rPr>
        <w:t xml:space="preserve">13/10/1984 à </w:t>
      </w:r>
      <w:proofErr w:type="spellStart"/>
      <w:r w:rsidRPr="00CC7F6C">
        <w:rPr>
          <w:rFonts w:ascii="Malgun Gothic" w:eastAsia="Malgun Gothic" w:hAnsi="Malgun Gothic"/>
          <w:bCs/>
        </w:rPr>
        <w:t>Douz</w:t>
      </w:r>
      <w:proofErr w:type="spellEnd"/>
      <w:r w:rsidR="00740EA0" w:rsidRPr="00CC7F6C">
        <w:rPr>
          <w:rFonts w:ascii="Malgun Gothic" w:eastAsia="Malgun Gothic" w:hAnsi="Malgun Gothic"/>
          <w:bCs/>
        </w:rPr>
        <w:t xml:space="preserve"> – </w:t>
      </w:r>
      <w:r w:rsidRPr="00CC7F6C">
        <w:rPr>
          <w:rFonts w:ascii="Malgun Gothic" w:eastAsia="Malgun Gothic" w:hAnsi="Malgun Gothic"/>
          <w:bCs/>
        </w:rPr>
        <w:t>Tunis</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CC7F6C">
        <w:rPr>
          <w:rFonts w:ascii="Malgun Gothic" w:eastAsia="Malgun Gothic" w:hAnsi="Malgun Gothic"/>
        </w:rPr>
        <w:t>184109935145686</w:t>
      </w:r>
      <w:r>
        <w:t xml:space="preserve"> </w:t>
      </w:r>
      <w:r w:rsidR="001758F8" w:rsidRPr="001758F8">
        <w:rPr>
          <w:rFonts w:ascii="Malgun Gothic" w:eastAsia="Malgun Gothic" w:hAnsi="Malgun Gothic"/>
          <w:bCs/>
        </w:rPr>
        <w:t>et demeurant à l’Adresse</w:t>
      </w:r>
      <w:r>
        <w:rPr>
          <w:rFonts w:ascii="Malgun Gothic" w:eastAsia="Malgun Gothic" w:hAnsi="Malgun Gothic"/>
          <w:bCs/>
        </w:rPr>
        <w:t xml:space="preserve"> </w:t>
      </w:r>
      <w:r w:rsidRPr="00CC7F6C">
        <w:rPr>
          <w:rFonts w:ascii="Malgun Gothic" w:eastAsia="Malgun Gothic" w:hAnsi="Malgun Gothic"/>
        </w:rPr>
        <w:t>3 Mail Pauline et André Lefèvre</w:t>
      </w:r>
      <w:r w:rsidRPr="00CC7F6C">
        <w:rPr>
          <w:rFonts w:ascii="Malgun Gothic" w:eastAsia="Malgun Gothic" w:hAnsi="Malgun Gothic"/>
        </w:rPr>
        <w:t>,</w:t>
      </w:r>
      <w:r w:rsidRPr="00CC7F6C">
        <w:rPr>
          <w:rFonts w:ascii="Malgun Gothic" w:eastAsia="Malgun Gothic" w:hAnsi="Malgun Gothic"/>
        </w:rPr>
        <w:t xml:space="preserve"> 91260 JUVISY SUR ORGE</w:t>
      </w:r>
      <w:r w:rsidR="00740EA0" w:rsidRPr="00CC7F6C">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3DEAAC50"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CC7F6C">
        <w:rPr>
          <w:rFonts w:ascii="Malgun Gothic" w:eastAsia="Malgun Gothic" w:hAnsi="Malgun Gothic"/>
        </w:rPr>
        <w:t>01/11/2022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746B075E"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sidRPr="00CC7F6C">
        <w:rPr>
          <w:rFonts w:ascii="Malgun Gothic" w:eastAsia="Malgun Gothic" w:hAnsi="Malgun Gothic"/>
        </w:rPr>
        <w:t>d</w:t>
      </w:r>
      <w:r w:rsidR="00CC7F6C" w:rsidRPr="00CC7F6C">
        <w:rPr>
          <w:rFonts w:ascii="Malgun Gothic" w:eastAsia="Malgun Gothic" w:hAnsi="Malgun Gothic"/>
        </w:rPr>
        <w:t>’i</w:t>
      </w:r>
      <w:r w:rsidR="00CC7F6C" w:rsidRPr="00CC7F6C">
        <w:rPr>
          <w:rFonts w:ascii="Malgun Gothic" w:eastAsia="Malgun Gothic" w:hAnsi="Malgun Gothic"/>
        </w:rPr>
        <w:t>ngénieur d'étude et développement</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360A4CBB"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CC7F6C">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CC7F6C">
        <w:rPr>
          <w:rFonts w:ascii="Malgun Gothic" w:eastAsia="Malgun Gothic" w:hAnsi="Malgun Gothic"/>
        </w:rPr>
        <w:t>210</w:t>
      </w:r>
    </w:p>
    <w:p w14:paraId="785F4852" w14:textId="1D3D8288" w:rsidR="009F3430" w:rsidRPr="00A32A9E" w:rsidRDefault="006C187F">
      <w:pPr>
        <w:rPr>
          <w:rFonts w:ascii="Malgun Gothic" w:eastAsia="Malgun Gothic" w:hAnsi="Malgun Gothic"/>
        </w:rPr>
      </w:pPr>
      <w:r>
        <w:rPr>
          <w:rFonts w:ascii="Malgun Gothic" w:eastAsia="Malgun Gothic" w:hAnsi="Malgun Gothic"/>
        </w:rPr>
        <w:br w:type="page"/>
      </w:r>
      <w:r w:rsidR="00386441" w:rsidRPr="00EE5BBA">
        <w:rPr>
          <w:rFonts w:ascii="Malgun Gothic" w:eastAsia="Malgun Gothic" w:hAnsi="Malgun Gothic"/>
          <w:b/>
          <w:u w:val="single"/>
        </w:rPr>
        <w:lastRenderedPageBreak/>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3BE8C058"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32A9E">
        <w:rPr>
          <w:rFonts w:ascii="Malgun Gothic" w:eastAsia="Malgun Gothic" w:hAnsi="Malgun Gothic"/>
        </w:rPr>
        <w:t>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714A583D" w14:textId="3B6FEE9C" w:rsidR="006C187F" w:rsidRPr="00A32A9E" w:rsidRDefault="00A32A9E" w:rsidP="00DF4565">
      <w:pPr>
        <w:pStyle w:val="Paragraphedeliste"/>
        <w:numPr>
          <w:ilvl w:val="0"/>
          <w:numId w:val="5"/>
        </w:numPr>
        <w:rPr>
          <w:rFonts w:ascii="Malgun Gothic" w:eastAsia="Malgun Gothic" w:hAnsi="Malgun Gothic"/>
        </w:rPr>
      </w:pPr>
      <w:r>
        <w:rPr>
          <w:rFonts w:ascii="Malgun Gothic" w:eastAsia="Malgun Gothic" w:hAnsi="Malgun Gothic"/>
        </w:rPr>
        <w:t>8</w:t>
      </w:r>
      <w:r w:rsidR="00DF4565">
        <w:rPr>
          <w:rFonts w:ascii="Malgun Gothic" w:eastAsia="Malgun Gothic" w:hAnsi="Malgun Gothic"/>
        </w:rPr>
        <w:t xml:space="preserve"> heures majorées à 25%</w:t>
      </w:r>
    </w:p>
    <w:p w14:paraId="15E9AF27" w14:textId="33C4FF66"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32A9E">
        <w:rPr>
          <w:rFonts w:ascii="Malgun Gothic" w:eastAsia="Malgun Gothic" w:hAnsi="Malgun Gothic"/>
        </w:rPr>
        <w:t>159,67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1F15201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A32A9E">
        <w:rPr>
          <w:rFonts w:ascii="Malgun Gothic" w:eastAsia="Malgun Gothic" w:hAnsi="Malgun Gothic"/>
        </w:rPr>
        <w:t>64 595,52</w:t>
      </w:r>
      <w:r w:rsidR="00A4504C" w:rsidRPr="00A4504C">
        <w:rPr>
          <w:rFonts w:ascii="Malgun Gothic" w:eastAsia="Malgun Gothic" w:hAnsi="Malgun Gothic"/>
        </w:rPr>
        <w:t xml:space="preserve"> euros, soit </w:t>
      </w:r>
      <w:r w:rsidR="00A32A9E">
        <w:rPr>
          <w:rFonts w:ascii="Malgun Gothic" w:eastAsia="Malgun Gothic" w:hAnsi="Malgun Gothic"/>
        </w:rPr>
        <w:t>5 382,96</w:t>
      </w:r>
      <w:r w:rsidR="00740EA0">
        <w:rPr>
          <w:rFonts w:ascii="Malgun Gothic" w:eastAsia="Malgun Gothic" w:hAnsi="Malgun Gothic"/>
        </w:rPr>
        <w:t xml:space="preserve"> </w:t>
      </w:r>
      <w:r w:rsidR="00A4504C" w:rsidRPr="00A4504C">
        <w:rPr>
          <w:rFonts w:ascii="Malgun Gothic" w:eastAsia="Malgun Gothic" w:hAnsi="Malgun Gothic"/>
        </w:rPr>
        <w:t>euros (</w:t>
      </w:r>
      <w:r w:rsidR="00A32A9E">
        <w:rPr>
          <w:rFonts w:ascii="Malgun Gothic" w:eastAsia="Malgun Gothic" w:hAnsi="Malgun Gothic"/>
        </w:rPr>
        <w:t>Cinq mille trois cent quatre-vingt-deux euros quatre-vingt-seize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92AB5F0"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A32A9E">
        <w:rPr>
          <w:rFonts w:ascii="Malgun Gothic" w:eastAsia="Malgun Gothic" w:hAnsi="Malgun Gothic"/>
          <w:color w:val="000000"/>
        </w:rPr>
        <w:t>5 050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4CB9C200"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A32A9E">
        <w:rPr>
          <w:rFonts w:ascii="Malgun Gothic" w:eastAsia="Malgun Gothic" w:hAnsi="Malgun Gothic"/>
          <w:color w:val="000000"/>
        </w:rPr>
        <w:t>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A32A9E">
        <w:rPr>
          <w:rFonts w:ascii="Malgun Gothic" w:eastAsia="Malgun Gothic" w:hAnsi="Malgun Gothic"/>
          <w:color w:val="000000"/>
        </w:rPr>
        <w:t>332,96</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Les frais engagés par le Salarié avec accord exprès et écrit de son supérieur </w:t>
      </w:r>
      <w:r w:rsidRPr="00EE5BBA">
        <w:rPr>
          <w:rFonts w:ascii="Malgun Gothic" w:eastAsia="Malgun Gothic" w:hAnsi="Malgun Gothic"/>
          <w:color w:val="000000"/>
        </w:rPr>
        <w:lastRenderedPageBreak/>
        <w:t>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1CC07171"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A32A9E">
        <w:rPr>
          <w:rFonts w:ascii="Malgun Gothic" w:eastAsia="Malgun Gothic" w:hAnsi="Malgun Gothic"/>
          <w:bCs/>
        </w:rPr>
        <w:t>Hazem BENAMOR</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2D49A5D9"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A32A9E" w:rsidRPr="00A32A9E">
        <w:rPr>
          <w:rFonts w:ascii="Malgun Gothic" w:eastAsia="Malgun Gothic" w:hAnsi="Malgun Gothic"/>
        </w:rPr>
        <w:t>31/10/2022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809CC10" w:rsidR="002A216D" w:rsidRDefault="00A32A9E" w:rsidP="006C187F">
            <w:pPr>
              <w:jc w:val="left"/>
              <w:rPr>
                <w:rFonts w:ascii="Malgun Gothic" w:eastAsia="Malgun Gothic" w:hAnsi="Malgun Gothic"/>
              </w:rPr>
            </w:pPr>
            <w:r>
              <w:rPr>
                <w:rFonts w:ascii="Malgun Gothic" w:eastAsia="Malgun Gothic" w:hAnsi="Malgun Gothic"/>
              </w:rPr>
              <w:t>Hazem BENAMOR</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0899" w14:textId="77777777" w:rsidR="00DB665A" w:rsidRDefault="00DB665A">
      <w:r>
        <w:separator/>
      </w:r>
    </w:p>
  </w:endnote>
  <w:endnote w:type="continuationSeparator" w:id="0">
    <w:p w14:paraId="3EE970F0" w14:textId="77777777" w:rsidR="00DB665A" w:rsidRDefault="00DB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EAA9" w14:textId="77777777" w:rsidR="00DB665A" w:rsidRDefault="00DB665A">
      <w:r>
        <w:separator/>
      </w:r>
    </w:p>
  </w:footnote>
  <w:footnote w:type="continuationSeparator" w:id="0">
    <w:p w14:paraId="383177BC" w14:textId="77777777" w:rsidR="00DB665A" w:rsidRDefault="00DB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32A9E"/>
    <w:rsid w:val="00A4504C"/>
    <w:rsid w:val="00A46D12"/>
    <w:rsid w:val="00B43E78"/>
    <w:rsid w:val="00C306FD"/>
    <w:rsid w:val="00C57CFD"/>
    <w:rsid w:val="00C9573F"/>
    <w:rsid w:val="00CC7F6C"/>
    <w:rsid w:val="00CE4895"/>
    <w:rsid w:val="00D20B85"/>
    <w:rsid w:val="00D913AE"/>
    <w:rsid w:val="00DA6BE1"/>
    <w:rsid w:val="00DB665A"/>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2170</Words>
  <Characters>11938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2022-10-31T09:10:00Z</dcterms:created>
  <dcterms:modified xsi:type="dcterms:W3CDTF">2022-10-31T09:10:00Z</dcterms:modified>
</cp:coreProperties>
</file>